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8"/>
        <w:pBdr/>
        <w:spacing/>
        <w:ind/>
        <w:jc w:val="center"/>
        <w:rPr>
          <w:sz w:val="48"/>
          <w:szCs w:val="48"/>
          <w:lang w:val="tr-TR"/>
        </w:rPr>
      </w:pPr>
      <w:r>
        <w:rPr>
          <w:sz w:val="48"/>
          <w:szCs w:val="48"/>
          <w:lang w:val="tr-TR"/>
        </w:rPr>
      </w:r>
      <w:r>
        <w:rPr>
          <w:sz w:val="48"/>
          <w:szCs w:val="48"/>
          <w:lang w:val="tr-TR"/>
        </w:rPr>
        <w:t xml:space="preserve">ERDEM BAYAZIT ANATOLIAN HIGH SCHOOL</w:t>
      </w:r>
      <w:r>
        <w:rPr>
          <w:sz w:val="48"/>
          <w:szCs w:val="48"/>
          <w:lang w:val="tr-TR"/>
        </w:rPr>
      </w:r>
      <w:r>
        <w:rPr>
          <w:sz w:val="48"/>
          <w:szCs w:val="48"/>
          <w:lang w:val="tr-TR"/>
        </w:rPr>
      </w:r>
    </w:p>
    <w:p>
      <w:pPr>
        <w:pStyle w:val="938"/>
        <w:pBdr/>
        <w:spacing/>
        <w:ind/>
        <w:jc w:val="center"/>
        <w:rPr>
          <w:sz w:val="44"/>
          <w:szCs w:val="44"/>
          <w:lang w:val="tr-TR"/>
        </w:rPr>
      </w:pPr>
      <w:r>
        <w:rPr>
          <w:sz w:val="44"/>
          <w:szCs w:val="44"/>
          <w:lang w:val="tr-TR"/>
        </w:rPr>
      </w:r>
      <w:r>
        <w:rPr>
          <w:sz w:val="44"/>
          <w:szCs w:val="44"/>
          <w:lang w:val="tr-TR"/>
        </w:rPr>
        <w:t xml:space="preserve">EBAL MODEL UNITED NATIONS CONFERENCE (EBALMUN)</w:t>
      </w:r>
      <w:r>
        <w:rPr>
          <w:sz w:val="44"/>
          <w:szCs w:val="44"/>
          <w:lang w:val="tr-TR"/>
        </w:rPr>
      </w:r>
      <w:r>
        <w:rPr>
          <w:sz w:val="44"/>
          <w:szCs w:val="44"/>
          <w:lang w:val="tr-TR"/>
        </w:rPr>
      </w:r>
    </w:p>
    <w:tbl>
      <w:tblPr>
        <w:tblStyle w:val="936"/>
        <w:jc w:val="center"/>
        <w:tblInd w:w="109" w:type="dxa"/>
        <w:tblW w:w="9621" w:type="dxa"/>
        <w:tblCellMar>
          <w:left w:w="0" w:type="dxa"/>
          <w:top w:w="0" w:type="dxa"/>
          <w:right w:w="0" w:type="dxa"/>
          <w:bottom w:w="0" w:type="dxa"/>
        </w:tblCellMa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3333"/>
        <w:gridCol w:w="1477"/>
        <w:gridCol w:w="4811"/>
      </w:tblGrid>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w:t>
            </w:r>
            <w:r>
              <w:rPr>
                <w:lang w:val="tr-TR"/>
              </w:rPr>
              <w:t xml:space="preserve"> </w:t>
            </w:r>
            <w:r>
              <w:rPr>
                <w:lang w:val="tr-TR"/>
              </w:rPr>
              <w:t xml:space="preserve">Type of Conference</w:t>
            </w:r>
            <w:r>
              <w:rPr>
                <w:lang w:val="tr-TR"/>
              </w:rP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jc w:val="center"/>
              <w:rPr>
                <w:sz w:val="44"/>
                <w:szCs w:val="44"/>
                <w:lang w:val="tr-TR"/>
              </w:rPr>
            </w:pPr>
            <w:r>
              <w:rPr>
                <w:sz w:val="20"/>
                <w:szCs w:val="20"/>
                <w:lang w:val="tr-TR"/>
              </w:rPr>
            </w:r>
            <w:r>
              <w:rPr>
                <w:sz w:val="20"/>
                <w:szCs w:val="20"/>
                <w:lang w:val="tr-TR"/>
              </w:rPr>
              <w:t xml:space="preserve">EBAL MODEL UNITED NATIONS CONFERENCE (EBALMUN26)</w:t>
            </w:r>
            <w:r>
              <w:rPr>
                <w:sz w:val="20"/>
                <w:szCs w:val="20"/>
                <w:lang w:val="tr-TR"/>
              </w:rPr>
            </w:r>
            <w:r>
              <w:rPr>
                <w:sz w:val="44"/>
                <w:szCs w:val="44"/>
                <w:lang w:val="tr-TR"/>
              </w:rPr>
            </w:r>
          </w:p>
        </w:tc>
      </w:tr>
      <w:tr>
        <w:trPr>
          <w:jc w:val="center"/>
          <w:trHeight w:val="21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 </w:t>
            </w:r>
            <w:r>
              <w:rPr>
                <w:lang w:val="tr-TR"/>
              </w:rPr>
              <w:t xml:space="preserve">Theme of the Conference</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Our event is a simulation in which students participate as delegates representing countries recognized by the United Nations. Participants gather in committees modeled after real UN bodies to discuss global issues, propose solutions, and present their resol</w:t>
            </w:r>
            <w:r>
              <w:rPr>
                <w:lang w:val="tr-TR"/>
              </w:rPr>
              <w:t xml:space="preserve">utions at the end of the conference.</w:t>
            </w:r>
            <w:r>
              <w:rPr>
                <w:lang w:val="tr-TR"/>
              </w:rPr>
            </w:r>
            <w:r>
              <w:rPr>
                <w:lang w:val="tr-TR"/>
              </w:rPr>
            </w:r>
          </w:p>
        </w:tc>
      </w:tr>
      <w:tr>
        <w:trPr>
          <w:jc w:val="center"/>
          <w:trHeight w:val="18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 </w:t>
            </w:r>
            <w:r>
              <w:rPr>
                <w:lang w:val="tr-TR"/>
              </w:rPr>
              <w:t xml:space="preserve">Purpose of the Conference</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6"/>
              </w:numPr>
              <w:pBdr/>
              <w:spacing/>
              <w:ind/>
              <w:rPr>
                <w:lang w:val="tr-TR"/>
              </w:rPr>
            </w:pPr>
            <w:r>
              <w:rPr>
                <w:lang w:val="tr-TR"/>
              </w:rPr>
            </w:r>
            <w:r>
              <w:rPr>
                <w:lang w:val="tr-TR"/>
              </w:rPr>
              <w:t xml:space="preserve">To raise students’ awareness of global issues</w:t>
            </w:r>
            <w:r>
              <w:rPr>
                <w:lang w:val="tr-TR"/>
              </w:rPr>
            </w:r>
            <w:r>
              <w:rPr>
                <w:lang w:val="tr-TR"/>
              </w:rPr>
              <w:t xml:space="preserve">,</w:t>
            </w:r>
            <w:r>
              <w:rPr>
                <w:lang w:val="tr-TR"/>
              </w:rPr>
            </w:r>
          </w:p>
          <w:p>
            <w:pPr>
              <w:pStyle w:val="939"/>
              <w:numPr>
                <w:ilvl w:val="0"/>
                <w:numId w:val="6"/>
              </w:numPr>
              <w:pBdr/>
              <w:spacing/>
              <w:ind/>
              <w:rPr>
                <w:lang w:val="tr-TR"/>
              </w:rPr>
            </w:pPr>
            <w:r>
              <w:rPr>
                <w:lang w:val="tr-TR"/>
              </w:rPr>
            </w:r>
            <w:r>
              <w:rPr>
                <w:lang w:val="tr-TR"/>
              </w:rPr>
            </w:r>
            <w:r>
              <w:rPr>
                <w:lang w:val="tr-TR"/>
              </w:rPr>
              <w:t xml:space="preserve">To enhance their English language proficiency and problem-solving skills</w:t>
            </w:r>
            <w:r>
              <w:rPr>
                <w:lang w:val="tr-TR"/>
              </w:rPr>
              <w:t xml:space="preserve">,</w:t>
            </w:r>
            <w:r>
              <w:rPr>
                <w:lang w:val="tr-TR"/>
              </w:rPr>
            </w:r>
          </w:p>
          <w:p>
            <w:pPr>
              <w:pStyle w:val="939"/>
              <w:numPr>
                <w:ilvl w:val="0"/>
                <w:numId w:val="6"/>
              </w:numPr>
              <w:pBdr/>
              <w:spacing/>
              <w:ind/>
              <w:rPr>
                <w:lang w:val="tr-TR"/>
              </w:rPr>
            </w:pPr>
            <w:r>
              <w:rPr>
                <w:lang w:val="tr-TR"/>
              </w:rPr>
            </w:r>
            <w:r>
              <w:rPr>
                <w:lang w:val="tr-TR"/>
              </w:rPr>
            </w:r>
            <w:r>
              <w:rPr>
                <w:lang w:val="tr-TR"/>
              </w:rPr>
              <w:t xml:space="preserve">To develop teamwork and collaboration skills to find solutions to global problems</w:t>
            </w:r>
            <w:r>
              <w:rPr>
                <w:lang w:val="tr-TR"/>
              </w:rPr>
            </w:r>
            <w:r>
              <w:rPr>
                <w:lang w:val="tr-TR"/>
              </w:rPr>
              <w:t xml:space="preserve">.</w:t>
            </w:r>
            <w:r>
              <w:rPr>
                <w:lang w:val="tr-TR"/>
              </w:rPr>
            </w: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 </w:t>
            </w:r>
            <w:r>
              <w:t xml:space="preserve">Scope and Participants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t xml:space="preserve">Students studying in public and private high schools throughout Kahr</w:t>
            </w:r>
            <w:r>
              <w:t xml:space="preserve">amanmaraş</w:t>
            </w:r>
            <w:r>
              <w:rPr>
                <w:lang w:val="tr-TR"/>
              </w:rPr>
              <w:t xml:space="preserve">.</w:t>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5. </w:t>
            </w:r>
            <w:r>
              <w:t xml:space="preserve">Venue</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t xml:space="preserve">Erdem Bayaz</w:t>
            </w:r>
            <w:r>
              <w:rPr>
                <w:lang w:val="tr-TR"/>
              </w:rPr>
              <w:t xml:space="preserve">ı</w:t>
            </w:r>
            <w:r>
              <w:t xml:space="preserve">t Anatolian High School</w:t>
              <w:br/>
              <w:t xml:space="preserve">(Transportation is under</w:t>
            </w:r>
            <w:r>
              <w:t xml:space="preserve"> the participants’ own respon</w:t>
            </w:r>
            <w:r>
              <w:t xml:space="preserve">sibility.)</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6. </w:t>
            </w:r>
            <w:r>
              <w:t xml:space="preserve">Date</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t xml:space="preserve">May 16–17, 2025</w:t>
            </w:r>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7. </w:t>
            </w:r>
            <w:r>
              <w:t xml:space="preserve">Language of the Conference</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English</w:t>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8. </w:t>
            </w:r>
            <w:r>
              <w:t xml:space="preserve">Invited Schools</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t xml:space="preserve">All public and private high schools in Kahramanmara</w:t>
            </w:r>
            <w:r>
              <w:t xml:space="preserve">ş</w:t>
            </w:r>
            <w:r/>
            <w:r>
              <w:rPr>
                <w:lang w:val="tr-TR"/>
              </w:rPr>
            </w:r>
            <w:r>
              <w:rPr>
                <w:lang w:val="tr-TR"/>
              </w:rPr>
            </w:r>
          </w:p>
        </w:tc>
      </w:tr>
      <w:tr>
        <w:trPr>
          <w:jc w:val="center"/>
          <w:trHeight w:val="1417"/>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9. </w:t>
            </w:r>
            <w:r>
              <w:t xml:space="preserve">Advisor Teachers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jc w:val="center"/>
              <w:rPr>
                <w:lang w:val="tr-TR"/>
              </w:rPr>
            </w:pPr>
            <w:r>
              <w:rPr>
                <w:lang w:val="tr-TR"/>
              </w:rPr>
              <w:t xml:space="preserve">Esra Paksoy            Esra Şerbetçi  </w:t>
            </w:r>
            <w:r>
              <w:rPr>
                <w:lang w:val="tr-TR" w:bidi="tr-TR"/>
              </w:rPr>
            </w:r>
            <w:r>
              <w:rPr>
                <w:lang w:val="tr-TR"/>
              </w:rPr>
            </w:r>
          </w:p>
          <w:p>
            <w:pPr>
              <w:pStyle w:val="938"/>
              <w:pBdr/>
              <w:spacing/>
              <w:ind/>
              <w:jc w:val="center"/>
              <w:rPr>
                <w:lang w:val="tr-TR"/>
              </w:rPr>
            </w:pPr>
            <w:r>
              <w:rPr>
                <w:lang w:val="tr-TR" w:bidi="tr-TR"/>
              </w:rPr>
            </w:r>
            <w:r>
              <w:rPr>
                <w:lang w:val="tr-TR" w:bidi="tr-TR"/>
              </w:rPr>
            </w:r>
            <w:r>
              <w:rPr>
                <w:lang w:val="tr-TR"/>
              </w:rPr>
            </w:r>
          </w:p>
          <w:p>
            <w:pPr>
              <w:pStyle w:val="938"/>
              <w:pBdr/>
              <w:spacing/>
              <w:ind/>
              <w:rPr>
                <w:lang w:val="tr-TR"/>
              </w:rPr>
            </w:pPr>
            <w:r>
              <w:rPr>
                <w:lang w:val="tr-TR"/>
              </w:rPr>
              <w:t xml:space="preserve">                       Merve Akköz        Elif Karakoyun</w:t>
            </w:r>
            <w:r>
              <w:rPr>
                <w:lang w:val="tr-TR"/>
              </w:rPr>
            </w:r>
          </w:p>
        </w:tc>
      </w:tr>
      <w:tr>
        <w:trPr>
          <w:jc w:val="center"/>
          <w:trHeight w:val="12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10. General Conditions of Participation</w:t>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1"/>
              </w:numPr>
              <w:pBdr/>
              <w:spacing/>
              <w:ind/>
              <w:rPr>
                <w:lang w:val="tr-TR"/>
              </w:rPr>
            </w:pPr>
            <w:r>
              <w:rPr>
                <w:lang w:val="tr-TR"/>
              </w:rPr>
            </w:r>
            <w:r>
              <w:t xml:space="preserve">The event is open to all students from grades 9 through 12 who wish to participate</w:t>
            </w:r>
            <w:r/>
            <w:r>
              <w:rPr>
                <w:lang w:val="tr-TR"/>
              </w:rPr>
            </w:r>
            <w:r>
              <w:rPr>
                <w:lang w:val="tr-TR"/>
              </w:rPr>
              <w:t xml:space="preserve">.</w:t>
            </w:r>
            <w:r>
              <w:rPr>
                <w:lang w:val="tr-TR"/>
              </w:rPr>
            </w:r>
          </w:p>
          <w:p>
            <w:pPr>
              <w:pStyle w:val="939"/>
              <w:numPr>
                <w:ilvl w:val="0"/>
                <w:numId w:val="1"/>
              </w:numPr>
              <w:pBdr/>
              <w:spacing/>
              <w:ind/>
              <w:rPr>
                <w:lang w:val="tr-TR"/>
              </w:rPr>
            </w:pPr>
            <w:r>
              <w:rPr>
                <w:lang w:val="tr-TR"/>
              </w:rPr>
            </w:r>
            <w:r>
              <w:t xml:space="preserve">Students who fill out the application form comple</w:t>
            </w:r>
            <w:r>
              <w:t xml:space="preserve">tely are eligible to </w:t>
            </w:r>
            <w:r>
              <w:rPr>
                <w:lang w:val="tr-TR"/>
              </w:rPr>
              <w:t xml:space="preserve">participate</w:t>
            </w:r>
            <w:r>
              <w:rPr>
                <w:lang w:val="tr-TR"/>
              </w:rPr>
              <w:t xml:space="preserve">.</w:t>
            </w:r>
            <w:r>
              <w:rPr>
                <w:lang w:val="tr-TR"/>
              </w:rPr>
            </w:r>
          </w:p>
        </w:tc>
      </w:tr>
      <w:tr>
        <w:trPr>
          <w:jc w:val="center"/>
          <w:trHeight w:val="18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11. </w:t>
            </w:r>
            <w:r>
              <w:t xml:space="preserve">Legal Compliance</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t xml:space="preserve">The event will be conducted in accordance with the Constitution of the Republic of Türkiye, the general and specific aims of Turkish National Education, international conventions, policy documents, and all</w:t>
            </w:r>
            <w:r>
              <w:t xml:space="preserve"> applicable regulations including the Law on the Protection of Personal Data No. 6698 and the Occupational Health and Safety Law No. 6331.</w:t>
            </w:r>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12. </w:t>
            </w:r>
            <w:r>
              <w:t xml:space="preserve">Fee Status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t xml:space="preserve">The event is free of charge.</w:t>
            </w:r>
            <w:r>
              <w:rPr>
                <w:lang w:val="tr-TR"/>
              </w:rPr>
            </w:r>
            <w:r>
              <w:rPr>
                <w:lang w:val="tr-TR"/>
              </w:rPr>
            </w:r>
          </w:p>
        </w:tc>
      </w:tr>
      <w:tr>
        <w:trPr>
          <w:jc w:val="center"/>
          <w:trHeight w:val="12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13. Education</w:t>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rPr>
                <w:lang w:val="tr-TR"/>
              </w:rPr>
            </w:pPr>
            <w:r>
              <w:rPr>
                <w:lang w:val="tr-TR"/>
              </w:rPr>
            </w:r>
            <w:r>
              <w:rPr>
                <w:lang w:val="tr-TR"/>
              </w:rPr>
              <w:t xml:space="preserve">The planning, promotion, and execution of the event will be carried out without disrupting education. In compliance with the Turkish Ministry of National Education’s  (MEB) Social Activities Regulation, EBALMUN will be held during the 2025–2026 academic yea</w:t>
            </w:r>
            <w:r>
              <w:rPr>
                <w:lang w:val="tr-TR"/>
              </w:rPr>
              <w:t xml:space="preserve">r.
</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14. </w:t>
            </w:r>
            <w:r>
              <w:rPr>
                <w:lang w:val="tr-TR"/>
              </w:rPr>
              <w:t xml:space="preserve">Volunteering</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t xml:space="preserve">Participation is on a voluntary ba</w:t>
            </w:r>
            <w:r>
              <w:t xml:space="preserve">sis.</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15. </w:t>
            </w:r>
            <w:r>
              <w:rPr>
                <w:lang w:val="tr-TR"/>
              </w:rPr>
              <w:t xml:space="preserve">Parental Consent</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Written consent from the student’s parent/guardian will be obtained through the Appendix-1 Parental Consent Form.</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16. </w:t>
            </w:r>
            <w:r>
              <w:rPr>
                <w:lang w:val="tr-TR"/>
              </w:rPr>
              <w:t xml:space="preserve">Required Documents from Participants</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7"/>
              </w:numPr>
              <w:pBdr/>
              <w:spacing/>
              <w:ind/>
              <w:rPr>
                <w:lang w:val="tr-TR"/>
              </w:rPr>
            </w:pPr>
            <w:r>
              <w:rPr>
                <w:lang w:val="tr-TR"/>
              </w:rPr>
            </w:r>
            <w:r>
              <w:rPr>
                <w:lang w:val="tr-TR"/>
              </w:rPr>
              <w:t xml:space="preserve"> “Appendix-1: Parental Consent Form” signed by the parent/guardian</w:t>
            </w:r>
            <w:r>
              <w:rPr>
                <w:lang w:val="tr-TR"/>
              </w:rPr>
            </w:r>
          </w:p>
          <w:p>
            <w:pPr>
              <w:pStyle w:val="939"/>
              <w:numPr>
                <w:ilvl w:val="0"/>
                <w:numId w:val="7"/>
              </w:numPr>
              <w:pBdr/>
              <w:spacing/>
              <w:ind/>
              <w:rPr>
                <w:lang w:val="tr-TR"/>
              </w:rPr>
            </w:pPr>
            <w:r>
              <w:rPr>
                <w:lang w:val="tr-TR"/>
              </w:rPr>
              <w:t xml:space="preserve"> “Appendix-2: Explicit Consent Form” signed by the parent/guardian  </w:t>
            </w:r>
            <w:r>
              <w:rPr>
                <w:lang w:val="tr-TR"/>
              </w:rPr>
            </w: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17. </w:t>
            </w:r>
            <w:r>
              <w:rPr>
                <w:lang w:val="tr-TR"/>
              </w:rPr>
              <w:t xml:space="preserve">Submission of Appendices</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All forms with wet-ink signatures will be collected by hand during registration.</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18. </w:t>
            </w:r>
            <w:r>
              <w:rPr>
                <w:lang w:val="tr-TR"/>
              </w:rPr>
              <w:t xml:space="preserve">Duration of Permission</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Limited to the 2025–2026 academic year.</w:t>
            </w:r>
            <w:r>
              <w:rPr>
                <w:lang w:val="tr-TR"/>
              </w:rPr>
            </w:r>
            <w:r>
              <w:rPr>
                <w:lang w:val="tr-TR"/>
              </w:rPr>
            </w:r>
          </w:p>
        </w:tc>
      </w:tr>
      <w:tr>
        <w:trPr>
          <w:jc w:val="center"/>
          <w:trHeight w:val="9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19. </w:t>
            </w:r>
            <w:r>
              <w:rPr>
                <w:rFonts w:ascii="Times New Roman" w:hAnsi="Times New Roman" w:eastAsia="Times New Roman" w:cs="Times New Roman"/>
              </w:rPr>
              <w:t xml:space="preserve">Compliance with Pedagogical Principles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rFonts w:ascii="Times New Roman" w:hAnsi="Times New Roman" w:eastAsia="Times New Roman" w:cs="Times New Roman"/>
              </w:rPr>
              <w:t xml:space="preserve">All materials attached to the application comply with the developmental levels, interests, needs, and abilities of students and align with pedagogical principles.</w:t>
            </w:r>
            <w:r/>
            <w:r>
              <w:rPr>
                <w:lang w:val="tr-TR"/>
              </w:rPr>
            </w:r>
            <w:r>
              <w:rPr>
                <w:lang w:val="tr-TR"/>
              </w:rPr>
            </w:r>
          </w:p>
        </w:tc>
      </w:tr>
      <w:tr>
        <w:trPr>
          <w:jc w:val="center"/>
          <w:trHeight w:val="21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20. </w:t>
            </w:r>
            <w:r>
              <w:rPr>
                <w:rFonts w:ascii="Times New Roman" w:hAnsi="Times New Roman" w:eastAsia="Times New Roman" w:cs="Times New Roman"/>
              </w:rPr>
              <w:t xml:space="preserve">Personal Data</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2"/>
              </w:numPr>
              <w:pBdr/>
              <w:spacing/>
              <w:ind/>
              <w:rPr>
                <w:lang w:val="tr-TR"/>
              </w:rPr>
            </w:pPr>
            <w:r>
              <w:rPr>
                <w:lang w:val="tr-TR"/>
              </w:rPr>
            </w:r>
            <w:r>
              <w:rPr>
                <w:rFonts w:ascii="Times New Roman" w:hAnsi="Times New Roman" w:eastAsia="Times New Roman" w:cs="Times New Roman"/>
              </w:rPr>
              <w:t xml:space="preserve">No personal data will be reques</w:t>
            </w:r>
            <w:r>
              <w:rPr>
                <w:rFonts w:ascii="Times New Roman" w:hAnsi="Times New Roman" w:eastAsia="Times New Roman" w:cs="Times New Roman"/>
              </w:rPr>
              <w:t xml:space="preserve">ted from participants or their guardians without obtaining explicit consent through the Appendix-2 Consent Form.</w:t>
            </w:r>
            <w:r/>
            <w:r>
              <w:rPr>
                <w:lang w:val="tr-TR"/>
              </w:rPr>
            </w:r>
            <w:r>
              <w:rPr>
                <w:lang w:val="tr-TR"/>
              </w:rPr>
            </w:r>
          </w:p>
          <w:p>
            <w:pPr>
              <w:pStyle w:val="939"/>
              <w:numPr>
                <w:ilvl w:val="0"/>
                <w:numId w:val="2"/>
              </w:numPr>
              <w:pBdr/>
              <w:spacing/>
              <w:ind/>
              <w:rPr>
                <w:lang w:val="tr-TR"/>
              </w:rPr>
            </w:pPr>
            <w:r>
              <w:rPr>
                <w:lang w:val="tr-TR"/>
              </w:rPr>
            </w:r>
            <w:r>
              <w:rPr>
                <w:rFonts w:ascii="Times New Roman" w:hAnsi="Times New Roman" w:eastAsia="Times New Roman" w:cs="Times New Roman"/>
              </w:rPr>
              <w:t xml:space="preserve">Collected data will be used only for the stated purposes and will not be shared with third parties</w:t>
            </w:r>
            <w:r>
              <w:rPr>
                <w:rFonts w:ascii="Times New Roman" w:hAnsi="Times New Roman" w:eastAsia="Times New Roman" w:cs="Times New Roman"/>
                <w:lang w:val="tr-TR"/>
              </w:rPr>
              <w:t xml:space="preserve"> and </w:t>
            </w:r>
            <w:r>
              <w:rPr>
                <w:rFonts w:ascii="Times New Roman" w:hAnsi="Times New Roman" w:eastAsia="Times New Roman" w:cs="Times New Roman"/>
                <w:lang w:val="tr-TR"/>
              </w:rPr>
              <w:t xml:space="preserve">a</w:t>
            </w:r>
            <w:r>
              <w:rPr>
                <w:rFonts w:ascii="Times New Roman" w:hAnsi="Times New Roman" w:eastAsia="Times New Roman" w:cs="Times New Roman"/>
              </w:rPr>
              <w:t xml:space="preserve">ll data will be deleted after the completi</w:t>
            </w:r>
            <w:r>
              <w:rPr>
                <w:rFonts w:ascii="Times New Roman" w:hAnsi="Times New Roman" w:eastAsia="Times New Roman" w:cs="Times New Roman"/>
              </w:rPr>
              <w:t xml:space="preserve">on of the event.</w:t>
            </w:r>
            <w:r>
              <w:rPr>
                <w:lang w:val="tr-TR"/>
              </w:rPr>
            </w:r>
            <w:r>
              <w:rPr>
                <w:lang w:val="tr-TR"/>
              </w:rPr>
            </w:r>
            <w:r/>
            <w:r/>
            <w:r>
              <w:rPr>
                <w:lang w:val="tr-TR"/>
              </w:rPr>
            </w:r>
          </w:p>
        </w:tc>
      </w:tr>
      <w:tr>
        <w:trPr>
          <w:jc w:val="center"/>
          <w:trHeight w:val="18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21. </w:t>
            </w:r>
            <w:r>
              <w:rPr>
                <w:rFonts w:ascii="Times New Roman" w:hAnsi="Times New Roman" w:eastAsia="Times New Roman" w:cs="Times New Roman"/>
              </w:rPr>
              <w:t xml:space="preserve">Accessibility for Disabled Participants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rFonts w:ascii="Times New Roman" w:hAnsi="Times New Roman" w:eastAsia="Times New Roman" w:cs="Times New Roman"/>
              </w:rPr>
              <w:t xml:space="preserve">There are no restrictions preventing the participation of disabled individuals. Necessary support and accessibility arrangements will be provided to facilitate their involvement. Participants re</w:t>
            </w:r>
            <w:r>
              <w:rPr>
                <w:rFonts w:ascii="Times New Roman" w:hAnsi="Times New Roman" w:eastAsia="Times New Roman" w:cs="Times New Roman"/>
              </w:rPr>
              <w:t xml:space="preserve">quiring assistance may be accompanied by an advisor.</w:t>
              <w:br/>
            </w:r>
            <w:r/>
            <w:r>
              <w:rPr>
                <w:lang w:val="tr-TR"/>
              </w:rPr>
            </w:r>
            <w:r>
              <w:rPr>
                <w:lang w:val="tr-TR"/>
              </w:rPr>
            </w:r>
          </w:p>
        </w:tc>
      </w:tr>
      <w:tr>
        <w:trPr>
          <w:jc w:val="center"/>
          <w:trHeight w:val="187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22. </w:t>
            </w:r>
            <w:r>
              <w:rPr>
                <w:lang w:val="tr-TR"/>
              </w:rPr>
            </w:r>
            <w:r>
              <w:rPr>
                <w:rFonts w:ascii="Times New Roman" w:hAnsi="Times New Roman" w:eastAsia="Times New Roman" w:cs="Times New Roman"/>
              </w:rPr>
              <w:t xml:space="preserve"> Sponsorship</w:t>
            </w:r>
            <w:r>
              <w:rPr>
                <w:lang w:val="tr-TR"/>
              </w:rPr>
              <w:t xml:space="preserve"> Status</w:t>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rPr>
                <w:lang w:val="tr-TR"/>
              </w:rPr>
            </w:pPr>
            <w:r>
              <w:rPr>
                <w:lang w:val="tr-TR"/>
              </w:rPr>
            </w:r>
            <w:r>
              <w:rPr>
                <w:rFonts w:ascii="Times New Roman" w:hAnsi="Times New Roman" w:eastAsia="Times New Roman" w:cs="Times New Roman"/>
              </w:rPr>
              <w:t xml:space="preserve">Expenses will be covered by the Parent-Teacher Association of Erdem Bayazit Anatolian High School.</w:t>
            </w:r>
            <w:r/>
            <w:r>
              <w:rPr>
                <w:lang w:val="tr-TR"/>
              </w:rPr>
            </w:r>
            <w:r>
              <w:rPr>
                <w:lang w:val="tr-TR"/>
              </w:rPr>
            </w:r>
          </w:p>
        </w:tc>
      </w:tr>
      <w:tr>
        <w:trPr>
          <w:jc w:val="center"/>
          <w:trHeight w:val="3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23. </w:t>
            </w:r>
            <w:r>
              <w:rPr>
                <w:rFonts w:ascii="Times New Roman" w:hAnsi="Times New Roman" w:eastAsia="Times New Roman" w:cs="Times New Roman"/>
              </w:rPr>
              <w:t xml:space="preserve">Copyright</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3"/>
              </w:numPr>
              <w:pBdr/>
              <w:spacing/>
              <w:ind/>
              <w:rPr>
                <w:lang w:val="tr-TR"/>
              </w:rPr>
            </w:pPr>
            <w:r>
              <w:rPr>
                <w:lang w:val="tr-TR"/>
              </w:rPr>
            </w:r>
            <w:r>
              <w:rPr>
                <w:rFonts w:ascii="Times New Roman" w:hAnsi="Times New Roman" w:eastAsia="Times New Roman" w:cs="Times New Roman"/>
              </w:rPr>
              <w:t xml:space="preserve">The intellectual property rights of works produced during the event belo</w:t>
            </w:r>
            <w:r>
              <w:rPr>
                <w:rFonts w:ascii="Times New Roman" w:hAnsi="Times New Roman" w:eastAsia="Times New Roman" w:cs="Times New Roman"/>
              </w:rPr>
              <w:t xml:space="preserve">ng to their creators. No work shall be published, printed, shared, or exhibited without the owner’s permission.</w:t>
            </w:r>
            <w:r/>
            <w:r>
              <w:rPr>
                <w:lang w:val="tr-TR"/>
              </w:rPr>
            </w:r>
            <w:r>
              <w:rPr>
                <w:lang w:val="tr-TR"/>
              </w:rPr>
            </w:r>
          </w:p>
          <w:p>
            <w:pPr>
              <w:pStyle w:val="939"/>
              <w:numPr>
                <w:ilvl w:val="0"/>
                <w:numId w:val="3"/>
              </w:numPr>
              <w:pBdr/>
              <w:spacing/>
              <w:ind/>
              <w:rPr>
                <w:lang w:val="tr-TR"/>
              </w:rPr>
            </w:pPr>
            <w:r>
              <w:rPr>
                <w:lang w:val="tr-TR"/>
              </w:rPr>
            </w:r>
            <w:r>
              <w:rPr>
                <w:rFonts w:ascii="Times New Roman" w:hAnsi="Times New Roman" w:eastAsia="Times New Roman" w:cs="Times New Roman"/>
              </w:rPr>
              <w:t xml:space="preserve">All copyright matters will comply with </w:t>
            </w:r>
            <w:r>
              <w:rPr>
                <w:rFonts w:ascii="Times New Roman" w:hAnsi="Times New Roman" w:eastAsia="Times New Roman" w:cs="Times New Roman"/>
              </w:rPr>
              <w:t xml:space="preserve">Law No. 5846 on Intellectual and Artistic Works</w:t>
            </w:r>
            <w:r>
              <w:rPr>
                <w:rFonts w:ascii="Times New Roman" w:hAnsi="Times New Roman" w:eastAsia="Times New Roman" w:cs="Times New Roman"/>
                <w:lang w:val="tr-TR"/>
              </w:rPr>
              <w:t xml:space="preserve">t</w:t>
            </w:r>
            <w:r>
              <w:rPr>
                <w:rFonts w:ascii="Times New Roman" w:hAnsi="Times New Roman" w:eastAsia="Times New Roman" w:cs="Times New Roman"/>
                <w:lang w:val="tr-TR"/>
              </w:rPr>
              <w:t xml:space="preserve"> </w:t>
            </w:r>
            <w:r>
              <w:rPr>
                <w:rFonts w:ascii="Times New Roman" w:hAnsi="Times New Roman" w:eastAsia="Times New Roman" w:cs="Times New Roman"/>
              </w:rPr>
              <w:t xml:space="preserve">and Law No. 6769 on Industrial Property.</w:t>
            </w:r>
            <w:r>
              <w:rPr>
                <w:lang w:val="tr-TR"/>
              </w:rPr>
            </w:r>
            <w:r>
              <w:rPr>
                <w:lang w:val="tr-TR"/>
              </w:rPr>
            </w:r>
          </w:p>
          <w:p>
            <w:pPr>
              <w:pStyle w:val="939"/>
              <w:numPr>
                <w:ilvl w:val="0"/>
                <w:numId w:val="3"/>
              </w:numPr>
              <w:pBdr/>
              <w:spacing/>
              <w:ind/>
              <w:rPr>
                <w:lang w:val="tr-TR"/>
              </w:rPr>
            </w:pPr>
            <w:r>
              <w:rPr>
                <w:lang w:val="tr-TR"/>
              </w:rPr>
            </w:r>
            <w:r>
              <w:rPr>
                <w:lang w:val="tr-TR"/>
              </w:rPr>
              <w:t xml:space="preserve">However, the institution organizing the event reserves the right to use such works with the author’s consent when necessary.</w:t>
            </w:r>
            <w:r>
              <w:rPr>
                <w:lang w:val="tr-TR"/>
              </w:rPr>
            </w:r>
            <w:r>
              <w:rPr>
                <w:lang w:val="tr-TR"/>
              </w:rPr>
            </w:r>
          </w:p>
        </w:tc>
      </w:tr>
      <w:tr>
        <w:trPr>
          <w:jc w:val="center"/>
          <w:trHeight w:val="9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24. </w:t>
            </w:r>
            <w:r>
              <w:rPr>
                <w:lang w:val="tr-TR"/>
              </w:rPr>
            </w:r>
            <w:r>
              <w:rPr>
                <w:lang w:val="tr-TR"/>
              </w:rPr>
              <w:t xml:space="preserve">Date of Data Entry on https://ayse.meb.gov.tr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March 7, 2026</w:t>
            </w:r>
            <w:r>
              <w:rPr>
                <w:lang w:val="tr-TR"/>
              </w:rPr>
            </w:r>
          </w:p>
        </w:tc>
      </w:tr>
      <w:tr>
        <w:trPr>
          <w:jc w:val="center"/>
          <w:trHeight w:val="24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25. </w:t>
            </w:r>
            <w:r>
              <w:rPr>
                <w:rFonts w:ascii="Times New Roman" w:hAnsi="Times New Roman" w:eastAsia="Times New Roman" w:cs="Times New Roman"/>
              </w:rPr>
              <w:t xml:space="preserve">Number of Participants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rFonts w:ascii="Times New Roman" w:hAnsi="Times New Roman" w:eastAsia="Times New Roman" w:cs="Times New Roman"/>
              </w:rPr>
              <w:t xml:space="preserve">The conference will host 125 students serving as delegate</w:t>
            </w:r>
            <w:r>
              <w:rPr>
                <w:rFonts w:ascii="Times New Roman" w:hAnsi="Times New Roman" w:eastAsia="Times New Roman" w:cs="Times New Roman"/>
              </w:rPr>
              <w:t xml:space="preserve">s and ambassadors, 10 committee chairs, 11 press members, 25 conference staff, and 57 organizers. Four advisor teachers</w:t>
            </w:r>
            <w:r>
              <w:rPr>
                <w:rFonts w:ascii="Times New Roman" w:hAnsi="Times New Roman" w:eastAsia="Times New Roman" w:cs="Times New Roman"/>
                <w:lang w:val="tr-TR"/>
              </w:rPr>
              <w:t xml:space="preserve"> </w:t>
            </w:r>
            <w:r>
              <w:rPr>
                <w:rFonts w:ascii="Times New Roman" w:hAnsi="Times New Roman" w:eastAsia="Times New Roman" w:cs="Times New Roman"/>
              </w:rPr>
              <w:t xml:space="preserve">will</w:t>
            </w:r>
            <w:r>
              <w:rPr>
                <w:rFonts w:ascii="Times New Roman" w:hAnsi="Times New Roman" w:eastAsia="Times New Roman" w:cs="Times New Roman"/>
                <w:lang w:val="tr-TR"/>
              </w:rPr>
              <w:t xml:space="preserve"> also participate</w:t>
            </w:r>
            <w:r>
              <w:rPr>
                <w:rFonts w:ascii="Times New Roman" w:hAnsi="Times New Roman" w:eastAsia="Times New Roman" w:cs="Times New Roman"/>
              </w:rPr>
              <w:t xml:space="preserve"> </w:t>
            </w:r>
            <w:r>
              <w:rPr>
                <w:rFonts w:ascii="Times New Roman" w:hAnsi="Times New Roman" w:eastAsia="Times New Roman" w:cs="Times New Roman"/>
                <w:lang w:val="tr-TR"/>
              </w:rPr>
              <w:t xml:space="preserve">to </w:t>
            </w:r>
            <w:r>
              <w:rPr>
                <w:rFonts w:ascii="Times New Roman" w:hAnsi="Times New Roman" w:eastAsia="Times New Roman" w:cs="Times New Roman"/>
              </w:rPr>
              <w:t xml:space="preserve">guide participants throughout the event.</w:t>
            </w:r>
            <w:r>
              <w:rPr>
                <w:lang w:val="tr-TR"/>
              </w:rPr>
            </w:r>
            <w:r>
              <w:rPr>
                <w:lang w:val="tr-TR"/>
              </w:rPr>
            </w:r>
          </w:p>
        </w:tc>
      </w:tr>
      <w:tr>
        <w:trPr>
          <w:jc w:val="center"/>
          <w:trHeight w:val="686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26. </w:t>
            </w:r>
            <w:r>
              <w:rPr>
                <w:rFonts w:ascii="Times New Roman" w:hAnsi="Times New Roman" w:eastAsia="Times New Roman" w:cs="Times New Roman"/>
              </w:rPr>
              <w:t xml:space="preserve">Participant Selection Process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Başvuru süreci farklı dönemlerde başvuru alınabilmesi amacıyla üçe ayrılır. Sırasıyla:</w:t>
            </w:r>
            <w:r>
              <w:rPr>
                <w:lang w:val="tr-TR"/>
              </w:rPr>
              <w:br/>
            </w:r>
            <w:r>
              <w:rPr>
                <w:lang w:val="tr-TR"/>
              </w:rPr>
            </w:r>
          </w:p>
          <w:p>
            <w:pPr>
              <w:pStyle w:val="939"/>
              <w:numPr>
                <w:ilvl w:val="0"/>
                <w:numId w:val="4"/>
              </w:numPr>
              <w:pBdr/>
              <w:spacing/>
              <w:ind/>
              <w:rPr>
                <w:rFonts w:ascii="NSimSun" w:hAnsi="NSimSun" w:eastAsia="NSimSun" w:cs="NSimSun"/>
                <w:lang w:val="tr-TR"/>
              </w:rPr>
            </w:pPr>
            <w:r>
              <w:rPr>
                <w:rFonts w:eastAsia="NSimSun" w:cs="NSimSun"/>
                <w:lang w:val="tr-TR"/>
              </w:rPr>
              <w:t xml:space="preserve">Erken Ba</w:t>
            </w:r>
            <w:r>
              <w:rPr>
                <w:rFonts w:eastAsia="NSimSun" w:cs="NSimSun"/>
                <w:lang w:val="tr-TR"/>
              </w:rPr>
              <w:t xml:space="preserve">ş</w:t>
            </w:r>
            <w:r>
              <w:rPr>
                <w:rFonts w:eastAsia="NSimSun" w:cs="NSimSun"/>
                <w:lang w:val="tr-TR"/>
              </w:rPr>
              <w:t xml:space="preserve">vuru D</w:t>
            </w:r>
            <w:r>
              <w:rPr>
                <w:rFonts w:eastAsia="NSimSun" w:cs="NSimSun"/>
                <w:lang w:val="tr-TR"/>
              </w:rPr>
              <w:t xml:space="preserve">ö</w:t>
            </w:r>
            <w:r>
              <w:rPr>
                <w:rFonts w:eastAsia="NSimSun" w:cs="NSimSun"/>
                <w:lang w:val="tr-TR"/>
              </w:rPr>
              <w:t xml:space="preserve">nemi</w:t>
            </w:r>
            <w:r>
              <w:rPr>
                <w:rFonts w:ascii="NSimSun" w:hAnsi="NSimSun" w:eastAsia="NSimSun" w:cs="NSimSun"/>
                <w:lang w:val="tr-TR" w:bidi="tr-TR"/>
              </w:rPr>
            </w:r>
            <w:r>
              <w:rPr>
                <w:rFonts w:ascii="NSimSun" w:hAnsi="NSimSun" w:eastAsia="NSimSun" w:cs="NSimSun"/>
                <w:lang w:val="tr-TR"/>
              </w:rPr>
            </w:r>
          </w:p>
          <w:p>
            <w:pPr>
              <w:pStyle w:val="939"/>
              <w:numPr>
                <w:ilvl w:val="0"/>
                <w:numId w:val="4"/>
              </w:numPr>
              <w:pBdr/>
              <w:spacing/>
              <w:ind/>
              <w:rPr>
                <w:rFonts w:ascii="NSimSun" w:hAnsi="NSimSun" w:eastAsia="NSimSun" w:cs="NSimSun"/>
                <w:lang w:val="tr-TR"/>
              </w:rPr>
            </w:pPr>
            <w:r>
              <w:rPr>
                <w:rFonts w:eastAsia="NSimSun" w:cs="NSimSun"/>
                <w:lang w:val="tr-TR"/>
              </w:rPr>
              <w:t xml:space="preserve">Normal Ba</w:t>
            </w:r>
            <w:r>
              <w:rPr>
                <w:rFonts w:eastAsia="NSimSun" w:cs="NSimSun"/>
                <w:lang w:val="tr-TR"/>
              </w:rPr>
              <w:t xml:space="preserve">ş</w:t>
            </w:r>
            <w:r>
              <w:rPr>
                <w:rFonts w:eastAsia="NSimSun" w:cs="NSimSun"/>
                <w:lang w:val="tr-TR"/>
              </w:rPr>
              <w:t xml:space="preserve">vuru D</w:t>
            </w:r>
            <w:r>
              <w:rPr>
                <w:rFonts w:eastAsia="NSimSun" w:cs="NSimSun"/>
                <w:lang w:val="tr-TR"/>
              </w:rPr>
              <w:t xml:space="preserve">ö</w:t>
            </w:r>
            <w:r>
              <w:rPr>
                <w:rFonts w:eastAsia="NSimSun" w:cs="NSimSun"/>
                <w:lang w:val="tr-TR"/>
              </w:rPr>
              <w:t xml:space="preserve">nemi</w:t>
            </w:r>
            <w:r>
              <w:rPr>
                <w:rFonts w:ascii="NSimSun" w:hAnsi="NSimSun" w:eastAsia="NSimSun" w:cs="NSimSun"/>
                <w:lang w:val="tr-TR" w:bidi="tr-TR"/>
              </w:rPr>
            </w:r>
            <w:r>
              <w:rPr>
                <w:rFonts w:ascii="NSimSun" w:hAnsi="NSimSun" w:eastAsia="NSimSun" w:cs="NSimSun"/>
                <w:lang w:val="tr-TR"/>
              </w:rPr>
            </w:r>
          </w:p>
          <w:p>
            <w:pPr>
              <w:pStyle w:val="939"/>
              <w:numPr>
                <w:ilvl w:val="0"/>
                <w:numId w:val="4"/>
              </w:numPr>
              <w:pBdr/>
              <w:spacing/>
              <w:ind/>
              <w:rPr>
                <w:rFonts w:ascii="NSimSun" w:hAnsi="NSimSun" w:eastAsia="NSimSun" w:cs="NSimSun"/>
                <w:lang w:val="tr-TR"/>
              </w:rPr>
            </w:pPr>
            <w:r>
              <w:rPr>
                <w:rFonts w:eastAsia="NSimSun" w:cs="NSimSun"/>
                <w:lang w:val="tr-TR"/>
              </w:rPr>
              <w:t xml:space="preserve">Ge</w:t>
            </w:r>
            <w:r>
              <w:rPr>
                <w:rFonts w:eastAsia="NSimSun" w:cs="NSimSun"/>
                <w:lang w:val="tr-TR"/>
              </w:rPr>
              <w:t xml:space="preserve">ç </w:t>
            </w:r>
            <w:r>
              <w:rPr>
                <w:rFonts w:eastAsia="NSimSun" w:cs="NSimSun"/>
                <w:lang w:val="tr-TR"/>
              </w:rPr>
              <w:t xml:space="preserve">Ba</w:t>
            </w:r>
            <w:r>
              <w:rPr>
                <w:rFonts w:eastAsia="NSimSun" w:cs="NSimSun"/>
                <w:lang w:val="tr-TR"/>
              </w:rPr>
              <w:t xml:space="preserve">ş</w:t>
            </w:r>
            <w:r>
              <w:rPr>
                <w:rFonts w:eastAsia="NSimSun" w:cs="NSimSun"/>
                <w:lang w:val="tr-TR"/>
              </w:rPr>
              <w:t xml:space="preserve">vuru D</w:t>
            </w:r>
            <w:r>
              <w:rPr>
                <w:rFonts w:eastAsia="NSimSun" w:cs="NSimSun"/>
                <w:lang w:val="tr-TR"/>
              </w:rPr>
              <w:t xml:space="preserve">ö</w:t>
            </w:r>
            <w:r>
              <w:rPr>
                <w:rFonts w:eastAsia="NSimSun" w:cs="NSimSun"/>
                <w:lang w:val="tr-TR"/>
              </w:rPr>
              <w:t xml:space="preserve">nemi</w:t>
            </w:r>
            <w:r>
              <w:rPr>
                <w:rFonts w:eastAsia="Times New Roman" w:cs="Times New Roman"/>
                <w:lang w:val="tr-TR"/>
              </w:rPr>
              <w:br/>
            </w:r>
            <w:r>
              <w:rPr>
                <w:rFonts w:ascii="NSimSun" w:hAnsi="NSimSun" w:eastAsia="NSimSun" w:cs="NSimSun"/>
                <w:lang w:val="tr-TR" w:bidi="tr-TR"/>
              </w:rPr>
            </w:r>
            <w:r>
              <w:rPr>
                <w:rFonts w:ascii="NSimSun" w:hAnsi="NSimSun" w:eastAsia="NSimSun" w:cs="NSimSun"/>
                <w:lang w:val="tr-TR"/>
              </w:rPr>
            </w:r>
          </w:p>
          <w:p>
            <w:pPr>
              <w:pStyle w:val="939"/>
              <w:pBdr/>
              <w:spacing/>
              <w:ind/>
              <w:jc w:val="both"/>
              <w:rPr>
                <w:rFonts w:ascii="NSimSun" w:hAnsi="NSimSun" w:eastAsia="NSimSun" w:cs="NSimSun"/>
                <w:lang w:val="tr-TR"/>
              </w:rPr>
            </w:pPr>
            <w:r>
              <w:rPr>
                <w:rFonts w:eastAsia="NSimSun" w:cs="NSimSun"/>
                <w:lang w:val="tr-TR"/>
              </w:rPr>
            </w:r>
            <w:r>
              <w:rPr>
                <w:rFonts w:ascii="Times New Roman" w:hAnsi="Times New Roman" w:eastAsia="Times New Roman" w:cs="Times New Roman"/>
              </w:rPr>
              <w:t xml:space="preserve">The first evaluation criterion is the motivation letter</w:t>
            </w:r>
            <w:r>
              <w:rPr>
                <w:rFonts w:ascii="Times New Roman" w:hAnsi="Times New Roman" w:eastAsia="Times New Roman" w:cs="Times New Roman"/>
                <w:lang w:val="tr-TR"/>
              </w:rPr>
              <w:t xml:space="preserve"> in this process</w:t>
            </w:r>
            <w:r>
              <w:rPr>
                <w:rFonts w:ascii="Times New Roman" w:hAnsi="Times New Roman" w:eastAsia="Times New Roman" w:cs="Times New Roman"/>
              </w:rPr>
              <w:t xml:space="preserve">. Applications with motivation letters under 250 words will be rejected</w:t>
            </w:r>
            <w:r>
              <w:rPr>
                <w:rFonts w:ascii="Times New Roman" w:hAnsi="Times New Roman" w:eastAsia="Times New Roman" w:cs="Times New Roman"/>
                <w:lang w:val="tr-TR"/>
              </w:rPr>
              <w:t xml:space="preserve"> and yo</w:t>
            </w:r>
            <w:r>
              <w:rPr>
                <w:rFonts w:ascii="Times New Roman" w:hAnsi="Times New Roman" w:eastAsia="Times New Roman" w:cs="Times New Roman"/>
                <w:lang w:val="tr-TR"/>
              </w:rPr>
              <w:t xml:space="preserve">u will be informe</w:t>
            </w:r>
            <w:r>
              <w:rPr>
                <w:rFonts w:ascii="Times New Roman" w:hAnsi="Times New Roman" w:eastAsia="Times New Roman" w:cs="Times New Roman"/>
                <w:lang w:val="tr-TR"/>
              </w:rPr>
              <w:t xml:space="preserve">d with an email</w:t>
            </w:r>
            <w:r>
              <w:rPr>
                <w:rFonts w:ascii="Times New Roman" w:hAnsi="Times New Roman" w:eastAsia="Times New Roman" w:cs="Times New Roman"/>
                <w:lang w:val="tr-TR"/>
              </w:rPr>
              <w:t xml:space="preserve"> sent to the email address provided with application form</w:t>
            </w:r>
            <w:r>
              <w:rPr>
                <w:rFonts w:ascii="Times New Roman" w:hAnsi="Times New Roman" w:eastAsia="Times New Roman" w:cs="Times New Roman"/>
              </w:rPr>
              <w:t xml:space="preserve">.</w:t>
            </w:r>
            <w:r/>
            <w:r>
              <w:rPr>
                <w:rFonts w:eastAsia="NSimSun" w:cs="NSimSun"/>
                <w:lang w:val="tr-TR"/>
              </w:rPr>
            </w:r>
            <w:r>
              <w:rPr>
                <w:rFonts w:ascii="NSimSun" w:hAnsi="NSimSun" w:eastAsia="NSimSun" w:cs="NSimSun"/>
                <w:lang w:val="tr-TR"/>
              </w:rPr>
            </w:r>
          </w:p>
          <w:p>
            <w:pPr>
              <w:pStyle w:val="939"/>
              <w:pBdr/>
              <w:spacing/>
              <w:ind/>
              <w:jc w:val="both"/>
              <w:rPr>
                <w:rFonts w:ascii="NSimSun" w:hAnsi="NSimSun" w:eastAsia="NSimSun" w:cs="NSimSun"/>
                <w:lang w:val="tr-TR"/>
              </w:rPr>
            </w:pPr>
            <w:r>
              <w:rPr>
                <w:rFonts w:ascii="NSimSun" w:hAnsi="NSimSun" w:eastAsia="NSimSun" w:cs="NSimSun"/>
                <w:lang w:val="tr-TR" w:eastAsia="zh-TW" w:bidi="tr-TR"/>
              </w:rPr>
            </w:r>
            <w:r>
              <w:rPr>
                <w:rFonts w:ascii="NSimSun" w:hAnsi="NSimSun" w:eastAsia="NSimSun" w:cs="NSimSun"/>
                <w:lang w:val="tr-TR" w:eastAsia="zh-TW" w:bidi="tr-TR"/>
              </w:rPr>
            </w:r>
            <w:r>
              <w:rPr>
                <w:rFonts w:ascii="NSimSun" w:hAnsi="NSimSun" w:eastAsia="NSimSun" w:cs="NSimSun"/>
                <w:lang w:val="tr-TR" w:eastAsia="zh-TW"/>
              </w:rPr>
            </w:r>
          </w:p>
          <w:p>
            <w:pPr>
              <w:pStyle w:val="939"/>
              <w:pBdr/>
              <w:spacing/>
              <w:ind/>
              <w:jc w:val="both"/>
              <w:rPr>
                <w:lang w:val="tr-TR"/>
              </w:rPr>
            </w:pPr>
            <w:r>
              <w:rPr>
                <w:rFonts w:eastAsia="NSimSun" w:cs="NSimSun"/>
                <w:lang w:val="tr-TR"/>
              </w:rPr>
              <w:t xml:space="preserve">    </w:t>
            </w:r>
            <w:r>
              <w:rPr>
                <w:rFonts w:ascii="Times New Roman" w:hAnsi="Times New Roman" w:eastAsia="Times New Roman" w:cs="Times New Roman"/>
              </w:rPr>
              <w:t xml:space="preserve">The second criterion is experie</w:t>
            </w:r>
            <w:r>
              <w:rPr>
                <w:rFonts w:ascii="Times New Roman" w:hAnsi="Times New Roman" w:eastAsia="Times New Roman" w:cs="Times New Roman"/>
              </w:rPr>
              <w:t xml:space="preserve">nce. Applicants with 0–2 previous MUN participations will be randomly assigned to the first two beginner-friendly committees</w:t>
            </w:r>
            <w:r>
              <w:rPr>
                <w:rFonts w:ascii="Times New Roman" w:hAnsi="Times New Roman" w:eastAsia="Times New Roman" w:cs="Times New Roman"/>
                <w:lang w:val="tr-TR"/>
              </w:rPr>
              <w:t xml:space="preserve"> that consists of 40 participants in total</w:t>
            </w:r>
            <w:r>
              <w:rPr>
                <w:rFonts w:ascii="Times New Roman" w:hAnsi="Times New Roman" w:eastAsia="Times New Roman" w:cs="Times New Roman"/>
              </w:rPr>
              <w:t xml:space="preserve"> to ensure an educational experience for newcomers.</w:t>
            </w:r>
            <w:r/>
            <w:r>
              <w:rPr>
                <w:rFonts w:eastAsia="NSimSun" w:cs="NSimSun"/>
                <w:lang w:val="tr-TR"/>
              </w:rPr>
            </w:r>
            <w:r>
              <w:rPr>
                <w:rFonts w:eastAsia="NSimSun" w:cs="NSimSun"/>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27. </w:t>
            </w:r>
            <w:r>
              <w:rPr>
                <w:lang w:val="tr-TR"/>
              </w:rPr>
              <w:t xml:space="preserve">Application Start Date</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rFonts w:ascii="Times New Roman" w:hAnsi="Times New Roman" w:eastAsia="Times New Roman" w:cs="Times New Roman"/>
              </w:rPr>
            </w:r>
            <w:r>
              <w:rPr>
                <w:rFonts w:ascii="Times New Roman" w:hAnsi="Times New Roman" w:eastAsia="Times New Roman" w:cs="Times New Roman"/>
              </w:rPr>
              <w:t xml:space="preserve">Applications will be opened following the approval of the Kahramanmaraş Provincial Directorate of National Education.</w:t>
            </w:r>
            <w:r>
              <w:rPr>
                <w:rFonts w:ascii="Times New Roman" w:hAnsi="Times New Roman" w:eastAsia="Times New Roman" w:cs="Times New Roman"/>
              </w:rPr>
            </w:r>
            <w:r>
              <w:rPr>
                <w:lang w:val="tr-TR"/>
              </w:rPr>
            </w:r>
          </w:p>
        </w:tc>
      </w:tr>
      <w:tr>
        <w:trPr>
          <w:jc w:val="center"/>
          <w:trHeight w:val="34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28. </w:t>
            </w:r>
            <w:r>
              <w:rPr>
                <w:lang w:val="tr-TR"/>
              </w:rPr>
              <w:t xml:space="preserve">Application Deadline</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April 27, 2026 – 23:59</w:t>
            </w:r>
            <w:r>
              <w:rPr>
                <w:lang w:val="tr-TR"/>
              </w:rPr>
            </w:r>
            <w:r>
              <w:rPr>
                <w:lang w:val="tr-TR"/>
              </w:rPr>
            </w:r>
          </w:p>
        </w:tc>
      </w:tr>
      <w:tr>
        <w:trPr>
          <w:jc w:val="center"/>
          <w:trHeight w:val="34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29. </w:t>
            </w:r>
            <w:r>
              <w:rPr>
                <w:lang w:val="tr-TR"/>
              </w:rPr>
              <w:t xml:space="preserve">Application Platform</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rFonts w:ascii="Times New Roman" w:hAnsi="Times New Roman" w:eastAsia="Times New Roman" w:cs="Times New Roman"/>
              </w:rPr>
              <w:t xml:space="preserve">Applications will be submitted through the website </w:t>
            </w:r>
            <w:hyperlink r:id="rId11" w:tooltip="munpoint.com" w:history="1">
              <w:r>
                <w:rPr>
                  <w:rStyle w:val="935"/>
                  <w:rFonts w:ascii="Times New Roman" w:hAnsi="Times New Roman" w:eastAsia="Times New Roman" w:cs="Times New Roman"/>
                </w:rPr>
                <w:t xml:space="preserve">munpoint.com</w:t>
              </w:r>
            </w:hyperlink>
            <w:r>
              <w:rPr>
                <w:rFonts w:ascii="Times New Roman" w:hAnsi="Times New Roman" w:eastAsia="Times New Roman" w:cs="Times New Roman"/>
              </w:rPr>
              <w:t xml:space="preserve">.</w:t>
            </w:r>
            <w:r>
              <w:rPr>
                <w:lang w:val="tr-TR"/>
              </w:rPr>
            </w:r>
            <w:r>
              <w:rPr>
                <w:lang w:val="tr-TR"/>
              </w:rPr>
            </w:r>
          </w:p>
        </w:tc>
      </w:tr>
      <w:tr>
        <w:trPr>
          <w:jc w:val="center"/>
          <w:trHeight w:val="34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30. </w:t>
            </w:r>
            <w:r>
              <w:rPr>
                <w:lang w:val="tr-TR"/>
              </w:rPr>
              <w:t xml:space="preserve">Application Procedure</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Applications will be collected via an online Google Form.</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31. </w:t>
            </w:r>
            <w:r>
              <w:rPr>
                <w:rFonts w:ascii="Times New Roman" w:hAnsi="Times New Roman" w:eastAsia="Times New Roman" w:cs="Times New Roman"/>
              </w:rPr>
              <w:t xml:space="preserve">Announcement of Results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Results will be announced on April 30, 2026.</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32. </w:t>
            </w:r>
            <w:r>
              <w:rPr>
                <w:lang w:val="tr-TR"/>
              </w:rPr>
              <w:t xml:space="preserve">Notification of Results</w:t>
            </w:r>
            <w:r>
              <w:rPr>
                <w:lang w:val="tr-TR"/>
              </w:rP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All applicants will be informed via email.</w:t>
            </w:r>
            <w:r>
              <w:rPr>
                <w:lang w:val="tr-TR"/>
              </w:rPr>
            </w:r>
            <w:r>
              <w:rPr>
                <w:lang w:val="tr-TR"/>
              </w:rPr>
            </w:r>
          </w:p>
        </w:tc>
      </w:tr>
      <w:tr>
        <w:trPr>
          <w:jc w:val="center"/>
          <w:trHeight w:val="386"/>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33. </w:t>
            </w:r>
            <w:r>
              <w:rPr>
                <w:lang w:val="tr-TR"/>
              </w:rPr>
              <w:t xml:space="preserve">Awards</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All participants will receive a Certificate of Participation.
</w:t>
            </w:r>
            <w:r>
              <w:rPr>
                <w:lang w:val="tr-TR"/>
              </w:rPr>
            </w:r>
            <w:r>
              <w:rPr>
                <w:lang w:val="tr-TR"/>
              </w:rPr>
            </w:r>
          </w:p>
        </w:tc>
      </w:tr>
      <w:tr>
        <w:trPr>
          <w:jc w:val="center"/>
          <w:trHeight w:val="907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34. </w:t>
            </w:r>
            <w:r>
              <w:rPr>
                <w:rFonts w:ascii="Times New Roman" w:hAnsi="Times New Roman" w:eastAsia="Times New Roman" w:cs="Times New Roman"/>
              </w:rPr>
              <w:t xml:space="preserve">Budget an</w:t>
            </w:r>
            <w:r>
              <w:rPr>
                <w:rFonts w:ascii="Times New Roman" w:hAnsi="Times New Roman" w:eastAsia="Times New Roman" w:cs="Times New Roman"/>
              </w:rPr>
              <w:t xml:space="preserve">d Funding Sources</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rFonts w:ascii="Times New Roman" w:hAnsi="Times New Roman" w:eastAsia="Times New Roman" w:cs="Times New Roman"/>
              </w:rPr>
            </w:pPr>
            <w:r>
              <w:rPr>
                <w:lang w:val="tr-TR"/>
              </w:rPr>
            </w:r>
            <w:r>
              <w:rPr>
                <w:rFonts w:ascii="Times New Roman" w:hAnsi="Times New Roman" w:eastAsia="Times New Roman" w:cs="Times New Roman"/>
              </w:rPr>
              <w:t xml:space="preserve">The total budget of the project is set at 138,060 TL, funded by voluntary donations and the Parent-Teacher Association.  </w:t>
              <w:br/>
              <w:t xml:space="preserve">Stationery and conference materials </w:t>
            </w:r>
            <w:r>
              <w:rPr>
                <w:rFonts w:ascii="Times New Roman" w:hAnsi="Times New Roman" w:eastAsia="Times New Roman" w:cs="Times New Roman"/>
                <w:lang w:val="tr-TR"/>
              </w:rPr>
              <w:t xml:space="preserve">described as follows </w:t>
            </w:r>
            <w:r>
              <w:rPr>
                <w:rFonts w:ascii="Times New Roman" w:hAnsi="Times New Roman" w:eastAsia="Times New Roman" w:cs="Times New Roman"/>
              </w:rPr>
              <w:t xml:space="preserve">will be provided to participants</w:t>
            </w:r>
            <w:r>
              <w:rPr>
                <w:rFonts w:ascii="Times New Roman" w:hAnsi="Times New Roman" w:eastAsia="Times New Roman" w:cs="Times New Roman"/>
                <w:lang w:val="tr-TR"/>
              </w:rPr>
              <w:t xml:space="preserve">.</w:t>
            </w:r>
            <w:r>
              <w:rPr>
                <w:rFonts w:ascii="Times New Roman" w:hAnsi="Times New Roman" w:eastAsia="Times New Roman" w:cs="Times New Roman"/>
              </w:rPr>
              <w:br/>
            </w:r>
            <w:r>
              <w:rPr>
                <w:lang w:val="tr-TR"/>
              </w:rPr>
            </w:r>
          </w:p>
          <w:p>
            <w:pPr>
              <w:pStyle w:val="939"/>
              <w:numPr>
                <w:ilvl w:val="0"/>
                <w:numId w:val="8"/>
              </w:numPr>
              <w:pBdr/>
              <w:spacing/>
              <w:ind/>
              <w:rPr>
                <w:rFonts w:ascii="Times New Roman" w:hAnsi="Times New Roman" w:eastAsia="Times New Roman" w:cs="Times New Roman"/>
              </w:rPr>
            </w:pPr>
            <w:r>
              <w:rPr>
                <w:rFonts w:ascii="Times New Roman" w:hAnsi="Times New Roman" w:eastAsia="Times New Roman" w:cs="Times New Roman"/>
              </w:rPr>
              <w:t xml:space="preserve">A4 &amp; A6 Notepads (200 pcs): ~7,500 TL</w:t>
            </w:r>
            <w:r>
              <w:rPr>
                <w:lang w:val="tr-TR"/>
              </w:rPr>
            </w:r>
          </w:p>
          <w:p>
            <w:pPr>
              <w:pStyle w:val="939"/>
              <w:numPr>
                <w:ilvl w:val="0"/>
                <w:numId w:val="8"/>
              </w:numPr>
              <w:pBdr/>
              <w:spacing/>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t xml:space="preserve">Stickers (200 pcs): ~160 TL  </w:t>
            </w:r>
            <w:r>
              <w:rPr>
                <w:lang w:val="tr-TR"/>
              </w:rPr>
            </w:r>
          </w:p>
          <w:p>
            <w:pPr>
              <w:pStyle w:val="939"/>
              <w:numPr>
                <w:ilvl w:val="0"/>
                <w:numId w:val="8"/>
              </w:numPr>
              <w:pBdr/>
              <w:spacing/>
              <w:ind/>
              <w:rPr>
                <w:rFonts w:ascii="Times New Roman" w:hAnsi="Times New Roman" w:eastAsia="Times New Roman" w:cs="Times New Roman"/>
              </w:rPr>
            </w:pPr>
            <w:r>
              <w:rPr>
                <w:rFonts w:ascii="Times New Roman" w:hAnsi="Times New Roman" w:eastAsia="Times New Roman" w:cs="Times New Roman"/>
              </w:rPr>
              <w:t xml:space="preserve">Pens (200 pcs): ~4,400 TL  </w:t>
            </w:r>
            <w:r>
              <w:rPr>
                <w:lang w:val="tr-TR"/>
              </w:rPr>
            </w:r>
          </w:p>
          <w:p>
            <w:pPr>
              <w:pStyle w:val="939"/>
              <w:numPr>
                <w:ilvl w:val="0"/>
                <w:numId w:val="8"/>
              </w:numPr>
              <w:pBdr/>
              <w:spacing/>
              <w:ind/>
              <w:rPr>
                <w:rFonts w:ascii="Times New Roman" w:hAnsi="Times New Roman" w:eastAsia="Times New Roman" w:cs="Times New Roman"/>
              </w:rPr>
            </w:pPr>
            <w:r>
              <w:rPr>
                <w:rFonts w:ascii="Times New Roman" w:hAnsi="Times New Roman" w:eastAsia="Times New Roman" w:cs="Times New Roman"/>
              </w:rPr>
              <w:t xml:space="preserve">Clipboards (200 pcs): ~5,000 TL  </w:t>
            </w:r>
            <w:r>
              <w:rPr>
                <w:lang w:val="tr-TR"/>
              </w:rPr>
            </w:r>
          </w:p>
          <w:p>
            <w:pPr>
              <w:pStyle w:val="939"/>
              <w:numPr>
                <w:ilvl w:val="0"/>
                <w:numId w:val="8"/>
              </w:numPr>
              <w:pBdr/>
              <w:spacing/>
              <w:ind/>
              <w:rPr>
                <w:rFonts w:ascii="Times New Roman" w:hAnsi="Times New Roman" w:eastAsia="Times New Roman" w:cs="Times New Roman"/>
              </w:rPr>
            </w:pPr>
            <w:r>
              <w:rPr>
                <w:rFonts w:ascii="Times New Roman" w:hAnsi="Times New Roman" w:eastAsia="Times New Roman" w:cs="Times New Roman"/>
                <w:lang w:val="tr-TR"/>
              </w:rPr>
              <w:t xml:space="preserve">Participant </w:t>
            </w:r>
            <w:r>
              <w:rPr>
                <w:rFonts w:ascii="Times New Roman" w:hAnsi="Times New Roman" w:eastAsia="Times New Roman" w:cs="Times New Roman"/>
              </w:rPr>
              <w:t xml:space="preserve">Certificates (200 pcs): ~1,500 TL  </w:t>
            </w:r>
            <w:r>
              <w:rPr>
                <w:lang w:val="tr-TR"/>
              </w:rPr>
            </w:r>
          </w:p>
          <w:p>
            <w:pPr>
              <w:pStyle w:val="939"/>
              <w:numPr>
                <w:ilvl w:val="0"/>
                <w:numId w:val="8"/>
              </w:numPr>
              <w:pBdr/>
              <w:spacing/>
              <w:ind/>
              <w:rPr>
                <w:rFonts w:ascii="Times New Roman" w:hAnsi="Times New Roman" w:eastAsia="Times New Roman" w:cs="Times New Roman"/>
              </w:rPr>
            </w:pPr>
            <w:r>
              <w:rPr>
                <w:rFonts w:ascii="Times New Roman" w:hAnsi="Times New Roman" w:eastAsia="Times New Roman" w:cs="Times New Roman"/>
              </w:rPr>
              <w:t xml:space="preserve">Booklets (200 pcs): ~1,800 TL  </w:t>
            </w:r>
            <w:r>
              <w:rPr>
                <w:lang w:val="tr-TR"/>
              </w:rPr>
            </w:r>
          </w:p>
          <w:p>
            <w:pPr>
              <w:pStyle w:val="939"/>
              <w:numPr>
                <w:ilvl w:val="0"/>
                <w:numId w:val="8"/>
              </w:numPr>
              <w:pBdr/>
              <w:spacing/>
              <w:ind/>
              <w:rPr>
                <w:rFonts w:ascii="Times New Roman" w:hAnsi="Times New Roman" w:eastAsia="Times New Roman" w:cs="Times New Roman"/>
              </w:rPr>
            </w:pPr>
            <w:r>
              <w:rPr>
                <w:rFonts w:ascii="Times New Roman" w:hAnsi="Times New Roman" w:eastAsia="Times New Roman" w:cs="Times New Roman"/>
              </w:rPr>
              <w:t xml:space="preserve">Name Tags (200 pcs): ~2,200 TL  </w:t>
            </w:r>
            <w:r>
              <w:rPr>
                <w:lang w:val="tr-TR"/>
              </w:rPr>
            </w:r>
          </w:p>
          <w:p>
            <w:pPr>
              <w:pStyle w:val="939"/>
              <w:numPr>
                <w:ilvl w:val="0"/>
                <w:numId w:val="8"/>
              </w:numPr>
              <w:pBdr/>
              <w:spacing/>
              <w:ind/>
              <w:rPr>
                <w:rFonts w:ascii="Times New Roman" w:hAnsi="Times New Roman" w:eastAsia="Times New Roman" w:cs="Times New Roman"/>
              </w:rPr>
            </w:pPr>
            <w:r>
              <w:rPr>
                <w:rFonts w:ascii="Times New Roman" w:hAnsi="Times New Roman" w:eastAsia="Times New Roman" w:cs="Times New Roman"/>
              </w:rPr>
              <w:t xml:space="preserve">Coffee Breaks: ~15,500 TL  </w:t>
            </w:r>
            <w:r>
              <w:rPr>
                <w:lang w:val="tr-TR"/>
              </w:rPr>
            </w:r>
          </w:p>
          <w:p>
            <w:pPr>
              <w:pStyle w:val="939"/>
              <w:numPr>
                <w:ilvl w:val="0"/>
                <w:numId w:val="8"/>
              </w:numPr>
              <w:pBdr/>
              <w:spacing/>
              <w:ind/>
              <w:rPr>
                <w:lang w:val="tr-TR"/>
              </w:rPr>
            </w:pPr>
            <w:r>
              <w:rPr>
                <w:rFonts w:ascii="Times New Roman" w:hAnsi="Times New Roman" w:eastAsia="Times New Roman" w:cs="Times New Roman"/>
              </w:rPr>
              <w:t xml:space="preserve">Two-day Lun</w:t>
            </w:r>
            <w:r>
              <w:rPr>
                <w:rFonts w:ascii="Times New Roman" w:hAnsi="Times New Roman" w:eastAsia="Times New Roman" w:cs="Times New Roman"/>
              </w:rPr>
              <w:t xml:space="preserve">ch (200 people): ~100,000 TL  </w:t>
              <w:br/>
            </w:r>
            <w:r/>
            <w:r/>
          </w:p>
        </w:tc>
      </w:tr>
      <w:tr>
        <w:trPr>
          <w:jc w:val="center"/>
          <w:trHeight w:val="14412"/>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35. Konu Başlıkları</w:t>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t xml:space="preserve">Model United Nations (MUN) conferences are organized with the purpose of increasing the awareness of our youth regarding global issues, encouraging them to approach these problems from different perspectives, to generate solutions, and to contribute innova</w:t>
            </w:r>
            <w:r>
              <w:t xml:space="preserve">tive ideas to the functioning of societies through their own viewpoints. Therefore, Model United Nations topics are selected among the social, political, economic, cultural, and psychological issues discussed within the United Nations. These topics are deb</w:t>
            </w:r>
            <w:r>
              <w:t xml:space="preserve">ated in committees, taking into account the fundamental educational principles of our Ministry of National Education, as well as the developmental levels, interests, needs, and abilities of the participating students.</w:t>
            </w:r>
            <w:r>
              <w:rPr>
                <w:lang w:val="tr-TR"/>
              </w:rPr>
            </w:r>
            <w:r>
              <w:rPr>
                <w:lang w:val="tr-TR"/>
              </w:rPr>
            </w:r>
          </w:p>
          <w:p>
            <w:pPr>
              <w:pStyle w:val="939"/>
              <w:pBdr/>
              <w:spacing/>
              <w:ind w:left="720"/>
              <w:rPr>
                <w:lang w:val="tr-TR"/>
              </w:rPr>
            </w:pPr>
            <w:r>
              <w:rPr>
                <w:lang w:val="tr-TR" w:bidi="tr-TR"/>
              </w:rPr>
            </w:r>
            <w:r>
              <w:rPr>
                <w:lang w:val="tr-TR"/>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United Nations Special Political and Decolonization Committee (SPECPOL)</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Agenda Item 1:</w:t>
            </w:r>
            <w:r>
              <w:rPr>
                <w:rFonts w:ascii="Times New Roman" w:hAnsi="Times New Roman" w:eastAsia="Times New Roman" w:cs="Times New Roman"/>
                <w:color w:val="000000"/>
                <w:sz w:val="24"/>
              </w:rPr>
              <w:t xml:space="preserve"> </w:t>
            </w:r>
            <w:r>
              <w:rPr>
                <w:rFonts w:ascii="Times New Roman" w:hAnsi="Times New Roman" w:eastAsia="Times New Roman" w:cs="Times New Roman"/>
                <w:i/>
                <w:color w:val="000000"/>
                <w:sz w:val="24"/>
              </w:rPr>
              <w:t xml:space="preserve">The Western Sahara Issue and the Oppression Faced by the Local Population</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Western Sahara conflict, located in North Africa, is one of the longest-standing territorial disputes in modern history, involving Morocco, the Sahrawi Arab Democratic Republic (SADR), and the indigenous Sahrawi people. The region has been at the cente</w:t>
            </w:r>
            <w:r>
              <w:rPr>
                <w:rFonts w:ascii="Times New Roman" w:hAnsi="Times New Roman" w:eastAsia="Times New Roman" w:cs="Times New Roman"/>
                <w:color w:val="000000"/>
                <w:sz w:val="24"/>
              </w:rPr>
              <w:t xml:space="preserve">r of a conflict that has led to widespread displacement, human rights violations, and a lack of political self-determination for the Sahrawi people.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At the core of the problem lies the issue of self-governance for the Sahrawi people, who have been subjected to oppression, displacement, and discrimination. In the occupied territories, the Sahrawi population has faced numerous human rights abuses such as</w:t>
            </w:r>
            <w:r>
              <w:rPr>
                <w:rFonts w:ascii="Times New Roman" w:hAnsi="Times New Roman" w:eastAsia="Times New Roman" w:cs="Times New Roman"/>
                <w:color w:val="000000"/>
                <w:sz w:val="24"/>
              </w:rPr>
              <w:t xml:space="preserve"> arbitrary detention, restrictions on freedom of expression, and denial of access to justice and basic rights. While many Sahrawis continue to live in refugee camps, others remain under Moroccan control in what human rights organizations have described as </w:t>
            </w:r>
            <w:r>
              <w:rPr>
                <w:rFonts w:ascii="Times New Roman" w:hAnsi="Times New Roman" w:eastAsia="Times New Roman" w:cs="Times New Roman"/>
                <w:color w:val="000000"/>
                <w:sz w:val="24"/>
              </w:rPr>
              <w:t xml:space="preserve">a prolonged state of statelessness.</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agenda aims to address the urgent need for a fair, lasting, and peaceful resolution to the Western Sahara conflict, focusing in particular on ending the suffering of the Sahrawi people. It calls for international cooperation to ensure respect for huma</w:t>
            </w:r>
            <w:r>
              <w:rPr>
                <w:rFonts w:ascii="Times New Roman" w:hAnsi="Times New Roman" w:eastAsia="Times New Roman" w:cs="Times New Roman"/>
                <w:color w:val="000000"/>
                <w:sz w:val="24"/>
              </w:rPr>
              <w:t xml:space="preserve">n rights, facilitate the right to self-determination, and promote a peaceful solution to a conflict that has affected generations. In researching this issue, it is crucial to analyze the historical context, current realities, and potential pathways toward </w:t>
            </w:r>
            <w:r>
              <w:rPr>
                <w:rFonts w:ascii="Times New Roman" w:hAnsi="Times New Roman" w:eastAsia="Times New Roman" w:cs="Times New Roman"/>
                <w:color w:val="000000"/>
                <w:sz w:val="24"/>
              </w:rPr>
              <w:t xml:space="preserve">a just solution that upholds the dignity and rights of the Sahrawi people.</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eastAsia="Times New Roman" w:cs="Times New Roman"/>
                <w:lang w:val="tr-TR" w:bidi="tr-TR"/>
              </w:rPr>
            </w:r>
            <w:r>
              <w:rPr>
                <w:rFonts w:ascii="Times New Roman" w:hAnsi="Times New Roman" w:eastAsia="Times New Roman" w:cs="Times New Roman"/>
                <w:lang w:val="tr-TR" w:bidi="tr-TR"/>
              </w:rPr>
            </w:r>
            <w:r>
              <w:rPr>
                <w:rFonts w:ascii="Times New Roman" w:hAnsi="Times New Roman" w:eastAsia="Times New Roman" w:cs="Times New Roman"/>
                <w:lang w:val="tr-TR"/>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United Nations Entity for Gender Equality and the Empowerment of Women (UN Women)</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Agenda Item:</w:t>
            </w:r>
            <w:r>
              <w:rPr>
                <w:rFonts w:ascii="Times New Roman" w:hAnsi="Times New Roman" w:eastAsia="Times New Roman" w:cs="Times New Roman"/>
                <w:color w:val="000000"/>
                <w:sz w:val="24"/>
              </w:rPr>
              <w:t xml:space="preserve"> </w:t>
            </w:r>
            <w:r>
              <w:rPr>
                <w:rFonts w:ascii="Times New Roman" w:hAnsi="Times New Roman" w:eastAsia="Times New Roman" w:cs="Times New Roman"/>
                <w:i/>
                <w:color w:val="000000"/>
                <w:sz w:val="24"/>
              </w:rPr>
              <w:t xml:space="preserve">Innovations Brought by Women in Politics and the Barriers They Face in Achieving Political Prominence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Women face numerous obstacles in achieving prominence in politics. These barriers arise from a range of social, cultural, and economic factors. Challenges such as limited access to education necessary for effective leadership, gender-based discrimination, </w:t>
            </w:r>
            <w:r>
              <w:rPr>
                <w:rFonts w:ascii="Times New Roman" w:hAnsi="Times New Roman" w:eastAsia="Times New Roman" w:cs="Times New Roman"/>
                <w:color w:val="000000"/>
                <w:sz w:val="24"/>
              </w:rPr>
              <w:t xml:space="preserve">societal prejudices, and insufficient financial resources hinder women’s advancement in political life.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Nevertheless, women’s participation in politics has been a crucial factor in fostering innovation and progress. Female leaders and representatives have spearheaded numerous initiatives aimed at ensuring gender equality and justice in societies. Their activ</w:t>
            </w:r>
            <w:r>
              <w:rPr>
                <w:rFonts w:ascii="Times New Roman" w:hAnsi="Times New Roman" w:eastAsia="Times New Roman" w:cs="Times New Roman"/>
                <w:color w:val="000000"/>
                <w:sz w:val="24"/>
              </w:rPr>
              <w:t xml:space="preserve">e involvement has led to significant reforms and contributed to more inclusive and equitable political systems.</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r>
            <w:r>
              <w:rPr>
                <w:rFonts w:ascii="Times New Roman" w:hAnsi="Times New Roman" w:eastAsia="Times New Roman" w:cs="Times New Roman"/>
                <w:lang w:val="tr-TR"/>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International Labour Organization (ILO)</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Agenda Item 1:</w:t>
            </w:r>
            <w:r>
              <w:rPr>
                <w:rFonts w:ascii="Times New Roman" w:hAnsi="Times New Roman" w:eastAsia="Times New Roman" w:cs="Times New Roman"/>
                <w:color w:val="000000"/>
                <w:sz w:val="24"/>
              </w:rPr>
              <w:t xml:space="preserve"> </w:t>
            </w:r>
            <w:r>
              <w:rPr>
                <w:rFonts w:ascii="Times New Roman" w:hAnsi="Times New Roman" w:eastAsia="Times New Roman" w:cs="Times New Roman"/>
                <w:i/>
                <w:color w:val="000000"/>
                <w:sz w:val="24"/>
              </w:rPr>
              <w:t xml:space="preserve">Informal Economy and Workers Deprived of Social Security Due to Informal Employment</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Social Security:</w:t>
              <w:br/>
            </w:r>
            <w:r>
              <w:rPr>
                <w:rFonts w:ascii="Times New Roman" w:hAnsi="Times New Roman" w:eastAsia="Times New Roman" w:cs="Times New Roman"/>
                <w:color w:val="000000"/>
                <w:sz w:val="24"/>
              </w:rPr>
              <w:t xml:space="preserve"> The ILO has played a significant role in guiding the establishment, development, and maintenance of social security systems worldwide, serving as a leading global reference point through its internationally defined normative framework. Since its founding </w:t>
            </w:r>
            <w:r>
              <w:rPr>
                <w:rFonts w:ascii="Times New Roman" w:hAnsi="Times New Roman" w:eastAsia="Times New Roman" w:cs="Times New Roman"/>
                <w:color w:val="000000"/>
                <w:sz w:val="24"/>
              </w:rPr>
              <w:t xml:space="preserve">in 1919 and following the addition of the </w:t>
            </w:r>
            <w:r>
              <w:rPr>
                <w:rFonts w:ascii="Times New Roman" w:hAnsi="Times New Roman" w:eastAsia="Times New Roman" w:cs="Times New Roman"/>
                <w:i/>
                <w:color w:val="000000"/>
                <w:sz w:val="24"/>
              </w:rPr>
              <w:t xml:space="preserve">Philadelphia Declaration</w:t>
            </w:r>
            <w:r>
              <w:rPr>
                <w:rFonts w:ascii="Times New Roman" w:hAnsi="Times New Roman" w:eastAsia="Times New Roman" w:cs="Times New Roman"/>
                <w:color w:val="000000"/>
                <w:sz w:val="24"/>
              </w:rPr>
              <w:t xml:space="preserve"> to the ILO Constitution in 1944—recognizing the right to social security—the Organization’s tripartite structure (governments, employers, and workers of its 186 member states) has developed and adopted a series of Conventions and Recommendations. These in</w:t>
            </w:r>
            <w:r>
              <w:rPr>
                <w:rFonts w:ascii="Times New Roman" w:hAnsi="Times New Roman" w:eastAsia="Times New Roman" w:cs="Times New Roman"/>
                <w:color w:val="000000"/>
                <w:sz w:val="24"/>
              </w:rPr>
              <w:t xml:space="preserve">struments have established social security as a distinct branch of international law and provided a framework for expanding and strengthening social protection systems across all regions of the world.</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Labour Rights:</w:t>
              <w:br/>
            </w:r>
            <w:r>
              <w:rPr>
                <w:rFonts w:ascii="Times New Roman" w:hAnsi="Times New Roman" w:eastAsia="Times New Roman" w:cs="Times New Roman"/>
                <w:color w:val="000000"/>
                <w:sz w:val="24"/>
              </w:rPr>
              <w:t xml:space="preserve"> Labour rights refer to the legal, social, and economic protections granted to individuals in the workplace. These rights include fair wages, safe working conditions, the right to unionize, protection against discrimination, and the right to rest and leisu</w:t>
            </w:r>
            <w:r>
              <w:rPr>
                <w:rFonts w:ascii="Times New Roman" w:hAnsi="Times New Roman" w:eastAsia="Times New Roman" w:cs="Times New Roman"/>
                <w:color w:val="000000"/>
                <w:sz w:val="24"/>
              </w:rPr>
              <w:t xml:space="preserve">re. They are designed to ensure that workers are treated with dignity and respect, protected from exploitation, and provided with secure and humane working environments.</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r>
            <w:r>
              <w:rPr>
                <w:rFonts w:ascii="Times New Roman" w:hAnsi="Times New Roman" w:eastAsia="Times New Roman" w:cs="Times New Roman"/>
                <w:lang w:val="tr-TR"/>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United Nations General Assembly – Social, Humanitarian, and Cultural Committee (SOCHUM)</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Agenda Item:</w:t>
            </w:r>
            <w:r>
              <w:rPr>
                <w:rFonts w:ascii="Times New Roman" w:hAnsi="Times New Roman" w:eastAsia="Times New Roman" w:cs="Times New Roman"/>
                <w:color w:val="000000"/>
                <w:sz w:val="24"/>
              </w:rPr>
              <w:t xml:space="preserve"> </w:t>
            </w:r>
            <w:r>
              <w:rPr>
                <w:rFonts w:ascii="Times New Roman" w:hAnsi="Times New Roman" w:eastAsia="Times New Roman" w:cs="Times New Roman"/>
                <w:i/>
                <w:color w:val="000000"/>
                <w:sz w:val="24"/>
              </w:rPr>
              <w:t xml:space="preserve">Resettlement of Vulnerable Individuals Forced to Migrate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All people have the right to live in this world. As the peoples of the world, we are interconnected. When the rights of one person are violated, it becomes a matter of concern for all of us.</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Due to wars, political conflicts, and natural disasters, many individuals are forced to leave their homes, countries, and homelands. It is essential to relocate these individuals to environments where they can live under humane and sustainable conditions. </w:t>
            </w:r>
            <w:r>
              <w:rPr>
                <w:rFonts w:ascii="Times New Roman" w:hAnsi="Times New Roman" w:eastAsia="Times New Roman" w:cs="Times New Roman"/>
                <w:color w:val="000000"/>
                <w:sz w:val="24"/>
              </w:rPr>
              <w:t xml:space="preserve">Examples of communities that have faced such circumstances include Palestinians, Afghans, Rwandans, certain groups in South America, and various populations in Central Africa.</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r>
            <w:r>
              <w:rPr>
                <w:rFonts w:ascii="Times New Roman" w:hAnsi="Times New Roman" w:eastAsia="Times New Roman" w:cs="Times New Roman"/>
                <w:lang w:val="tr-TR"/>
              </w:rPr>
            </w:r>
          </w:p>
          <w:p>
            <w:pPr>
              <w:pStyle w:val="939"/>
              <w:pBdr/>
              <w:spacing/>
              <w:ind/>
              <w:rPr>
                <w:b/>
                <w:bCs/>
                <w:lang w:val="tr-TR"/>
              </w:rPr>
            </w:pPr>
            <w:r>
              <w:rPr>
                <w:b/>
                <w:bCs/>
                <w:lang w:val="tr-TR" w:bidi="tr-TR"/>
              </w:rPr>
            </w:r>
            <w:r>
              <w:rPr>
                <w:b/>
                <w:bCs/>
                <w:lang w:val="tr-TR" w:bidi="tr-TR"/>
              </w:rPr>
            </w:r>
            <w:r>
              <w:rPr>
                <w:b/>
                <w:bCs/>
                <w:lang w:val="tr-TR"/>
              </w:rPr>
            </w:r>
          </w:p>
          <w:p>
            <w:pPr>
              <w:pStyle w:val="939"/>
              <w:pBdr/>
              <w:spacing/>
              <w:ind/>
              <w:rPr>
                <w:b/>
                <w:bCs/>
                <w:lang w:val="tr-TR"/>
              </w:rPr>
            </w:pPr>
            <w:r>
              <w:rPr>
                <w:b/>
                <w:bCs/>
                <w:lang w:val="tr-TR" w:bidi="tr-TR"/>
              </w:rPr>
            </w:r>
            <w:r>
              <w:rPr>
                <w:b/>
                <w:bCs/>
                <w:lang w:val="tr-TR" w:bidi="tr-TR"/>
              </w:rPr>
            </w:r>
            <w:r>
              <w:rPr>
                <w:b/>
                <w:bCs/>
                <w:lang w:val="tr-TR"/>
              </w:rPr>
            </w:r>
          </w:p>
          <w:p>
            <w:pPr>
              <w:pStyle w:val="939"/>
              <w:pBdr/>
              <w:spacing/>
              <w:ind w:left="720"/>
              <w:rPr>
                <w:lang w:val="tr-TR"/>
              </w:rPr>
            </w:pPr>
            <w:r>
              <w:rPr>
                <w:lang w:val="tr-TR" w:bidi="tr-TR"/>
              </w:rPr>
            </w:r>
            <w:r>
              <w:rPr>
                <w:lang w:val="tr-TR"/>
              </w:rPr>
            </w:r>
          </w:p>
          <w:p>
            <w:pPr>
              <w:pStyle w:val="939"/>
              <w:pBdr/>
              <w:spacing/>
              <w:ind/>
              <w:rPr>
                <w:rFonts w:ascii="NSimSun" w:hAnsi="NSimSun" w:eastAsia="NSimSun" w:cs="NSimSun"/>
                <w:lang w:val="tr-TR"/>
              </w:rPr>
            </w:pPr>
            <w:r>
              <w:rPr>
                <w:rFonts w:ascii="NSimSun" w:hAnsi="NSimSun" w:eastAsia="NSimSun" w:cs="NSimSun"/>
                <w:lang w:val="tr-TR" w:eastAsia="zh-TW" w:bidi="tr-TR"/>
              </w:rPr>
            </w:r>
            <w:r>
              <w:rPr>
                <w:rFonts w:ascii="NSimSun" w:hAnsi="NSimSun" w:eastAsia="NSimSun" w:cs="NSimSun"/>
                <w:lang w:val="tr-TR" w:eastAsia="zh-TW" w:bidi="tr-TR"/>
              </w:rPr>
            </w:r>
            <w:r>
              <w:rPr>
                <w:rFonts w:ascii="NSimSun" w:hAnsi="NSimSun" w:eastAsia="NSimSun" w:cs="NSimSun"/>
                <w:lang w:val="tr-TR" w:eastAsia="zh-TW"/>
              </w:rPr>
            </w:r>
          </w:p>
          <w:p>
            <w:pPr>
              <w:pStyle w:val="939"/>
              <w:pBdr/>
              <w:spacing/>
              <w:ind/>
              <w:rPr>
                <w:lang w:val="tr-TR"/>
              </w:rPr>
            </w:pPr>
            <w:r>
              <w:rPr>
                <w:lang w:val="tr-TR" w:bidi="tr-TR"/>
              </w:rPr>
            </w:r>
            <w:r>
              <w:rPr>
                <w:lang w:val="tr-TR"/>
              </w:rPr>
            </w:r>
          </w:p>
        </w:tc>
      </w:tr>
      <w:tr>
        <w:trPr>
          <w:jc w:val="center"/>
          <w:trHeight w:val="1131"/>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36. </w:t>
            </w:r>
            <w:r>
              <w:rPr>
                <w:rFonts w:ascii="Times New Roman" w:hAnsi="Times New Roman" w:eastAsia="Times New Roman" w:cs="Times New Roman"/>
              </w:rPr>
              <w:t xml:space="preserve">Procedure</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r>
              <w:rPr>
                <w:lang w:val="tr-TR"/>
              </w:rPr>
              <w:t xml:space="preserve">The conference will follow the Harvard Procedure, emphasizing structured debate and improving participants’ public speaking and diplomacy skills.</w:t>
            </w:r>
            <w:r>
              <w:rPr>
                <w:lang w:val="tr-TR"/>
              </w:rPr>
            </w:r>
            <w:r>
              <w:rPr>
                <w:lang w:val="tr-TR"/>
              </w:rPr>
            </w:r>
          </w:p>
        </w:tc>
      </w:tr>
      <w:tr>
        <w:trPr>
          <w:jc w:val="center"/>
          <w:trHeight w:val="12292"/>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37. </w:t>
            </w:r>
            <w:r>
              <w:rPr>
                <w:rFonts w:ascii="Times New Roman" w:hAnsi="Times New Roman" w:eastAsia="Times New Roman" w:cs="Times New Roman"/>
              </w:rPr>
              <w:t xml:space="preserve">Schedule</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bidi="tr-TR"/>
              </w:rPr>
            </w:r>
            <w:r>
              <w:rPr>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eastAsia="Times Roman" w:cs="Times Roman"/>
                <w:lang w:val="tr-TR" w:bidi="tr-TR"/>
              </w:rPr>
            </w:r>
            <w:r>
              <w:rPr>
                <w:rFonts w:ascii="Times Roman" w:hAnsi="Times Roman" w:eastAsia="Times Roman" w:cs="Times Roman"/>
                <w:lang w:val="tr-TR" w:bidi="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DAY 1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09:30-10:00 Registration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10:00-10:45 Opening Ceremony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10:45-11:00 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11:00-12:00 Session 1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12:00-12:15 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12:15-13:15 Session 2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13:15-14:45 Lunch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14:45-15:45 Session 3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15:45-16:00 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16:00-17:00 Session 4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17:00-17:15 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17:15-18:15 Session 5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18:15-18:30 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18:30-19:30 Session 6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DAY 2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09:00-10:00 Session 7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10:00-10:15 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10:15-11:15 Session 8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11:15-11:30 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11:30-12:30 Session 9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12:30-14:00 Lunch+Coffee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14:00-15:00 Session 10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15:00-15:15 Coffee Break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15:15-16:15 Session 11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pPr>
            <w:r>
              <w:rPr>
                <w:rFonts w:ascii="Times Roman" w:hAnsi="Times Roman"/>
                <w:lang w:val="tr-TR"/>
              </w:rPr>
              <w:t xml:space="preserve">17:15-18:15 Dinner </w:t>
            </w: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lang w:val="tr-TR"/>
              </w:rPr>
            </w:pPr>
            <w:r>
              <w:rPr>
                <w:rFonts w:ascii="Times Roman" w:hAnsi="Times Roman"/>
                <w:lang w:val="tr-TR"/>
              </w:rPr>
              <w:t xml:space="preserve">18:15-22:00 Closing Ceremony</w:t>
            </w:r>
            <w:r/>
            <w:r>
              <w:rPr>
                <w:rFonts w:ascii="Times Roman" w:hAnsi="Times Roman"/>
                <w:lang w:val="tr-TR"/>
              </w:rPr>
            </w:r>
            <w:r>
              <w:rPr>
                <w:lang w:val="tr-TR"/>
              </w:rPr>
            </w:r>
          </w:p>
        </w:tc>
      </w:tr>
      <w:tr>
        <w:trPr>
          <w:jc w:val="center"/>
          <w:trHeight w:val="14315"/>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38. </w:t>
            </w:r>
            <w:r>
              <w:rPr>
                <w:lang w:val="tr-TR"/>
              </w:rPr>
              <w:t xml:space="preserve">Attendance Policy</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5"/>
              </w:numPr>
              <w:pBdr/>
              <w:spacing/>
              <w:ind/>
              <w:rPr>
                <w:lang w:val="tr-TR"/>
              </w:rPr>
            </w:pPr>
            <w:r>
              <w:rPr>
                <w:lang w:val="tr-TR"/>
              </w:rPr>
            </w:r>
            <w:r>
              <w:rPr>
                <w:lang w:val="tr-TR"/>
              </w:rPr>
              <w:t xml:space="preserve">Participants may miss up to two sessions. Missing more without a valid excuse will result in disqualification from receiving the participation certificate. Valid excuses must be reported to the Deputy Secretary-General or Secretary-General.</w:t>
            </w:r>
            <w:r>
              <w:rPr>
                <w:lang w:val="tr-TR"/>
              </w:rPr>
            </w:r>
            <w:r>
              <w:rPr>
                <w:lang w:val="tr-TR"/>
              </w:rPr>
            </w:r>
          </w:p>
          <w:p>
            <w:pPr>
              <w:pStyle w:val="939"/>
              <w:numPr>
                <w:ilvl w:val="0"/>
                <w:numId w:val="5"/>
              </w:numPr>
              <w:pBdr/>
              <w:spacing/>
              <w:ind/>
              <w:rPr>
                <w:lang w:val="tr-TR"/>
              </w:rPr>
            </w:pPr>
            <w:r>
              <w:rPr>
                <w:lang w:val="tr-TR"/>
              </w:rPr>
            </w:r>
            <w:r>
              <w:rPr>
                <w:lang w:val="tr-TR"/>
              </w:rPr>
              <w:t xml:space="preserve">During social activities, participants and students must act in accordance with the Secondary Education Institutions Regulation Articles</w:t>
            </w:r>
            <w:r>
              <w:rPr>
                <w:lang w:val="tr-TR"/>
              </w:rPr>
              <w:t xml:space="preserve">.</w:t>
            </w:r>
            <w:r>
              <w:rPr>
                <w:lang w:val="tr-TR"/>
              </w:rPr>
            </w:r>
          </w:p>
          <w:p>
            <w:pPr>
              <w:pStyle w:val="939"/>
              <w:numPr>
                <w:ilvl w:val="0"/>
                <w:numId w:val="5"/>
              </w:numPr>
              <w:pBdr/>
              <w:spacing/>
              <w:ind/>
              <w:rPr/>
            </w:pPr>
            <w:r>
              <w:rPr>
                <w:lang w:val="tr-TR"/>
              </w:rPr>
              <w:t xml:space="preserve">Participants are responsible for any damage to the conference venue, other participants, staff, companions, or other guests' property. Participants will be held responsible for any damage.</w:t>
            </w:r>
            <w:r>
              <w:rPr>
                <w:lang w:val="tr-TR"/>
              </w:rPr>
            </w:r>
            <w:r>
              <w:rPr>
                <w:lang w:val="tr-TR"/>
              </w:rPr>
            </w:r>
            <w:r>
              <w:rPr>
                <w:lang w:val="tr-TR"/>
              </w:rPr>
            </w:r>
            <w:r>
              <w:rPr>
                <w:lang w:val="tr-TR"/>
              </w:rPr>
            </w:r>
            <w:r>
              <w:rPr>
                <w:lang w:val="tr-TR"/>
              </w:rPr>
            </w:r>
            <w:r>
              <w:rPr>
                <w:lang w:val="tr-TR"/>
              </w:rPr>
            </w:r>
          </w:p>
          <w:p>
            <w:pPr>
              <w:pStyle w:val="939"/>
              <w:numPr>
                <w:ilvl w:val="0"/>
                <w:numId w:val="5"/>
              </w:numPr>
              <w:pBdr/>
              <w:spacing/>
              <w:ind/>
              <w:rPr>
                <w:lang w:val="tr-TR"/>
              </w:rPr>
            </w:pPr>
            <w:r>
              <w:rPr>
                <w:lang w:val="tr-TR"/>
              </w:rPr>
            </w:r>
            <w:r>
              <w:rPr>
                <w:lang w:val="tr-TR"/>
              </w:rPr>
              <w:t xml:space="preserve">Participants are required to wear their badges at all times to participate in conference activities. The person who lost their badges is responsible for replacing them.</w:t>
            </w:r>
            <w:r>
              <w:rPr>
                <w:lang w:val="tr-TR"/>
              </w:rPr>
            </w:r>
            <w:r>
              <w:rPr>
                <w:lang w:val="tr-TR"/>
              </w:rPr>
            </w:r>
          </w:p>
          <w:p>
            <w:pPr>
              <w:pStyle w:val="939"/>
              <w:numPr>
                <w:ilvl w:val="0"/>
                <w:numId w:val="5"/>
              </w:numPr>
              <w:pBdr/>
              <w:spacing/>
              <w:ind/>
              <w:rPr/>
            </w:pPr>
            <w:r>
              <w:rPr>
                <w:lang w:val="tr-TR"/>
              </w:rPr>
              <w:t xml:space="preserve">The dress code is “Formal Attire” (Shirt, jacket, trousers, tie, bow tie, etc.) and is valid during all official sessions of the conference.</w:t>
            </w:r>
            <w:r>
              <w:rPr>
                <w:lang w:val="tr-TR"/>
              </w:rPr>
            </w:r>
            <w:r>
              <w:rPr>
                <w:lang w:val="tr-TR"/>
              </w:rPr>
            </w:r>
            <w:r>
              <w:rPr>
                <w:lang w:val="tr-TR"/>
              </w:rPr>
            </w:r>
            <w:r>
              <w:rPr>
                <w:lang w:val="tr-TR"/>
              </w:rPr>
            </w:r>
            <w:r>
              <w:rPr>
                <w:lang w:val="tr-TR"/>
              </w:rPr>
            </w:r>
            <w:r>
              <w:rPr>
                <w:lang w:val="tr-TR"/>
              </w:rPr>
            </w:r>
          </w:p>
          <w:p>
            <w:pPr>
              <w:pStyle w:val="939"/>
              <w:numPr>
                <w:ilvl w:val="0"/>
                <w:numId w:val="5"/>
              </w:numPr>
              <w:pBdr/>
              <w:spacing/>
              <w:ind/>
              <w:rPr>
                <w:lang w:val="tr-TR"/>
              </w:rPr>
            </w:pPr>
            <w:r>
              <w:rPr>
                <w:lang w:val="tr-TR"/>
              </w:rPr>
            </w:r>
            <w:r>
              <w:rPr>
                <w:lang w:val="tr-TR"/>
              </w:rPr>
              <w:t xml:space="preserve">Participants wishing to wear the traditional clothing of the country they represent must obtain permission from the Secretariat at least two days before the conference. Participants with no national affiliation with their location will not be granted this p</w:t>
            </w:r>
            <w:r>
              <w:rPr>
                <w:lang w:val="tr-TR"/>
              </w:rPr>
              <w:t xml:space="preserve">ermission, as a sign of their independence.</w:t>
            </w:r>
            <w:r>
              <w:rPr>
                <w:lang w:val="tr-TR"/>
              </w:rPr>
            </w:r>
            <w:r>
              <w:rPr>
                <w:lang w:val="tr-TR"/>
              </w:rPr>
            </w:r>
          </w:p>
        </w:tc>
      </w:tr>
      <w:tr>
        <w:trPr>
          <w:jc w:val="center"/>
          <w:trHeight w:val="386"/>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39. </w:t>
            </w:r>
            <w:r>
              <w:rPr>
                <w:rFonts w:ascii="Times New Roman" w:hAnsi="Times New Roman" w:eastAsia="Times New Roman" w:cs="Times New Roman"/>
              </w:rPr>
              <w:t xml:space="preserve">Contact Phone</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hyperlink r:id="rId12" w:tooltip="tel:+905058570467" w:history="1">
              <w:r>
                <w:rPr>
                  <w:rStyle w:val="935"/>
                  <w:lang w:val="tr-TR"/>
                </w:rPr>
                <w:t xml:space="preserve">+905058570467</w:t>
              </w:r>
            </w:hyperlink>
            <w:r>
              <w:rPr>
                <w:lang w:val="tr-TR"/>
              </w:rPr>
            </w:r>
            <w:r>
              <w:rPr>
                <w:lang w:val="tr-TR"/>
              </w:rPr>
            </w:r>
          </w:p>
        </w:tc>
      </w:tr>
      <w:tr>
        <w:trPr>
          <w:jc w:val="center"/>
          <w:trHeight w:val="386"/>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40. </w:t>
            </w:r>
            <w:r>
              <w:rPr>
                <w:rFonts w:ascii="Times New Roman" w:hAnsi="Times New Roman" w:eastAsia="Times New Roman" w:cs="Times New Roman"/>
              </w:rPr>
              <w:t xml:space="preserve">Contact Email</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bidi="tr-TR"/>
              </w:rPr>
            </w:r>
            <w:hyperlink r:id="rId13" w:tooltip="mailto:esraerkmen@yahoo.com" w:history="1">
              <w:r>
                <w:rPr>
                  <w:rStyle w:val="935"/>
                  <w:lang w:val="tr-TR"/>
                </w:rPr>
                <w:t xml:space="preserve">esraerkmen@yahoo.com</w:t>
              </w:r>
            </w:hyperlink>
            <w:r>
              <w:rPr>
                <w:lang w:val="tr-TR" w:bidi="tr-TR"/>
              </w:rPr>
            </w:r>
            <w:r>
              <w:rPr>
                <w:lang w:val="tr-TR"/>
              </w:rPr>
            </w:r>
          </w:p>
        </w:tc>
      </w:tr>
      <w:tr>
        <w:trPr>
          <w:jc w:val="center"/>
          <w:trHeight w:val="441"/>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41. </w:t>
            </w:r>
            <w:r>
              <w:rPr>
                <w:lang w:val="tr-TR"/>
              </w:rPr>
              <w:t xml:space="preserve"> Contact Address</w:t>
            </w:r>
            <w:r>
              <w:rPr>
                <w:lang w:val="tr-TR"/>
              </w:rP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sz w:val="21"/>
                <w:szCs w:val="21"/>
                <w:lang w:val="tr-TR"/>
              </w:rPr>
              <w:t xml:space="preserve">Yamaçtepe</w:t>
            </w:r>
            <w:r>
              <w:rPr>
                <w:sz w:val="21"/>
                <w:szCs w:val="21"/>
                <w:lang w:val="tr-TR"/>
              </w:rPr>
              <w:t xml:space="preserve"> Mah. Prof.Dr</w:t>
            </w:r>
            <w:r>
              <w:rPr>
                <w:sz w:val="21"/>
                <w:szCs w:val="21"/>
                <w:lang w:val="tr-TR"/>
              </w:rPr>
              <w:t xml:space="preserve">. Necmettin Erbakan Bulv. No.105</w:t>
            </w:r>
            <w:r>
              <w:rPr>
                <w:sz w:val="21"/>
                <w:szCs w:val="21"/>
                <w:lang w:val="tr-TR"/>
              </w:rPr>
              <w:t xml:space="preserve">/A</w:t>
            </w:r>
            <w:r>
              <w:rPr>
                <w:sz w:val="21"/>
                <w:szCs w:val="21"/>
                <w:lang w:val="tr-TR"/>
              </w:rPr>
              <w:t xml:space="preserve"> 45050</w:t>
            </w:r>
            <w:r>
              <w:rPr>
                <w:lang w:val="tr-TR"/>
              </w:rPr>
            </w:r>
          </w:p>
          <w:p>
            <w:pPr>
              <w:pStyle w:val="939"/>
              <w:pBdr/>
              <w:spacing/>
              <w:ind/>
              <w:rPr>
                <w:lang w:val="tr-TR"/>
              </w:rPr>
            </w:pPr>
            <w:r>
              <w:rPr>
                <w:sz w:val="21"/>
                <w:szCs w:val="21"/>
                <w:lang w:val="tr-TR"/>
              </w:rPr>
              <w:t xml:space="preserve">Oniki</w:t>
            </w:r>
            <w:r>
              <w:rPr>
                <w:sz w:val="21"/>
                <w:szCs w:val="21"/>
                <w:lang w:val="tr-TR"/>
              </w:rPr>
              <w:t xml:space="preserve">ş</w:t>
            </w:r>
            <w:r>
              <w:rPr>
                <w:sz w:val="21"/>
                <w:szCs w:val="21"/>
                <w:lang w:val="tr-TR"/>
              </w:rPr>
              <w:t xml:space="preserve">ubat / Kahramanmara</w:t>
            </w:r>
            <w:r>
              <w:rPr>
                <w:sz w:val="21"/>
                <w:szCs w:val="21"/>
                <w:lang w:val="tr-TR"/>
              </w:rPr>
              <w:t xml:space="preserve">ş</w:t>
            </w:r>
            <w:r>
              <w:rPr>
                <w:lang w:val="tr-TR"/>
              </w:rPr>
            </w:r>
          </w:p>
        </w:tc>
      </w:tr>
      <w:tr>
        <w:trPr>
          <w:jc w:val="center"/>
          <w:trHeight w:val="386"/>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42. İ</w:t>
            </w:r>
            <w:r>
              <w:rPr>
                <w:rFonts w:ascii="Times New Roman" w:hAnsi="Times New Roman" w:eastAsia="Times New Roman" w:cs="Times New Roman"/>
              </w:rPr>
              <w:t xml:space="preserve">Website</w:t>
            </w: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hyperlink r:id="rId14" w:tooltip="https://www.ebalmun.com.tr" w:history="1">
              <w:r>
                <w:rPr>
                  <w:rStyle w:val="935"/>
                  <w:lang w:val="tr-TR"/>
                </w:rPr>
                <w:t xml:space="preserve">ebalmun.com.tr</w:t>
              </w:r>
              <w:r>
                <w:rPr>
                  <w:rStyle w:val="935"/>
                  <w:lang w:val="tr-TR"/>
                </w:rPr>
              </w:r>
            </w:hyperlink>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43. Sosyal Medya Hesabı</w:t>
            </w:r>
            <w:r>
              <w:rPr>
                <w:lang w:val="tr-TR"/>
              </w:rPr>
              <w:b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Instagram: </w:t>
            </w:r>
            <w:r>
              <w:rPr>
                <w:lang w:val="tr-TR"/>
              </w:rPr>
            </w:r>
          </w:p>
          <w:p>
            <w:pPr>
              <w:pStyle w:val="939"/>
              <w:pBdr/>
              <w:spacing/>
              <w:ind/>
              <w:rPr>
                <w:lang w:val="tr-TR"/>
              </w:rPr>
            </w:pPr>
            <w:r>
              <w:rPr>
                <w:lang w:val="tr-TR" w:bidi="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Style w:val="939"/>
              <w:pBdr/>
              <w:spacing/>
              <w:ind/>
              <w:jc w:val="center"/>
              <w:rPr>
                <w:lang w:val="tr-TR"/>
              </w:rPr>
            </w:pPr>
            <w:r>
              <w:rPr>
                <w:lang w:val="tr-TR"/>
              </w:rPr>
              <w:t xml:space="preserve">24 March, 2026</w:t>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Style w:val="939"/>
              <w:pBdr/>
              <w:spacing/>
              <w:ind/>
              <w:jc w:val="center"/>
              <w:rPr>
                <w:lang w:val="tr-TR"/>
              </w:rPr>
            </w:pPr>
            <w:r>
              <w:rPr>
                <w:lang w:val="tr-TR"/>
              </w:rPr>
            </w:r>
            <w:r>
              <w:rPr>
                <w:lang w:val="tr-TR"/>
              </w:rPr>
              <w:t xml:space="preserve">24 March, 2026</w:t>
            </w:r>
            <w:r>
              <w:rPr>
                <w:lang w:val="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Bdr/>
              <w:spacing/>
              <w:ind/>
              <w:rPr>
                <w:lang w:val="tr-TR"/>
              </w:rPr>
            </w:pPr>
            <w:r>
              <w:rPr>
                <w:lang w:val="tr-TR" w:bidi="tr-TR"/>
              </w:rPr>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Bdr/>
              <w:spacing/>
              <w:ind/>
              <w:rPr>
                <w:lang w:val="tr-TR"/>
              </w:rPr>
            </w:pPr>
            <w:r>
              <w:rPr>
                <w:lang w:val="tr-TR" w:bidi="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widowControl w:val="false"/>
              <w:pBdr/>
              <w:spacing/>
              <w:ind/>
              <w:jc w:val="center"/>
              <w:rPr>
                <w:lang w:val="tr-TR"/>
              </w:rPr>
            </w:pPr>
            <w:r>
              <w:rPr>
                <w:rFonts w:cs="Arial Unicode MS"/>
                <w:color w:val="000000"/>
                <w:lang w:val="tr-TR"/>
                <w14:textOutline w14:w="0" w14:cap="flat" w14:cmpd="sng" w14:algn="ctr">
                  <w14:noFill/>
                  <w14:prstDash w14:val="solid"/>
                  <w14:bevel/>
                </w14:textOutline>
              </w:rPr>
              <w:t xml:space="preserve">Kenan SAY</w:t>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widowControl w:val="false"/>
              <w:pBdr/>
              <w:spacing/>
              <w:ind/>
              <w:jc w:val="center"/>
              <w:rPr>
                <w:lang w:val="tr-TR"/>
              </w:rPr>
            </w:pPr>
            <w:r>
              <w:rPr>
                <w:rFonts w:cs="Arial Unicode MS"/>
                <w:color w:val="000000"/>
                <w:lang w:val="tr-TR"/>
                <w14:textOutline w14:w="0" w14:cap="flat" w14:cmpd="sng" w14:algn="ctr">
                  <w14:noFill/>
                  <w14:prstDash w14:val="solid"/>
                  <w14:bevel/>
                </w14:textOutline>
              </w:rPr>
              <w:t xml:space="preserve">Mehmet AKARSU</w:t>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Bdr/>
              <w:spacing/>
              <w:ind/>
              <w:rPr>
                <w:lang w:val="tr-TR"/>
              </w:rPr>
            </w:pPr>
            <w:r>
              <w:rPr>
                <w:lang w:val="tr-TR" w:bidi="tr-TR"/>
              </w:rPr>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Bdr/>
              <w:spacing/>
              <w:ind/>
              <w:rPr>
                <w:lang w:val="tr-TR"/>
              </w:rPr>
            </w:pPr>
            <w:r>
              <w:rPr>
                <w:lang w:val="tr-TR" w:bidi="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Style w:val="939"/>
              <w:pBdr/>
              <w:spacing/>
              <w:ind/>
              <w:jc w:val="center"/>
              <w:rPr>
                <w:lang w:val="tr-TR"/>
              </w:rPr>
            </w:pPr>
            <w:r>
              <w:rPr>
                <w:lang w:val="tr-TR"/>
              </w:rPr>
              <w:t xml:space="preserve">Vice Principal</w:t>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Style w:val="939"/>
              <w:pBdr/>
              <w:spacing/>
              <w:ind/>
              <w:jc w:val="center"/>
              <w:rPr>
                <w:lang w:val="tr-TR"/>
              </w:rPr>
            </w:pPr>
            <w:r>
              <w:rPr>
                <w:lang w:val="tr-TR"/>
              </w:rPr>
              <w:t xml:space="preserve">Principal</w:t>
            </w:r>
            <w:r>
              <w:rPr>
                <w:lang w:val="tr-TR"/>
              </w:rPr>
            </w:r>
          </w:p>
        </w:tc>
      </w:tr>
    </w:tbl>
    <w:p>
      <w:pPr>
        <w:pStyle w:val="938"/>
        <w:widowControl w:val="false"/>
        <w:pBdr/>
        <w:spacing/>
        <w:ind w:hanging="1" w:left="1"/>
        <w:jc w:val="center"/>
        <w:rPr>
          <w:lang w:val="tr-TR"/>
        </w:rPr>
      </w:pPr>
      <w:r>
        <w:rPr>
          <w:lang w:val="tr-TR" w:bidi="tr-TR"/>
        </w:rPr>
      </w:r>
      <w:r>
        <w:rPr>
          <w:lang w:val="tr-TR"/>
        </w:rPr>
      </w:r>
    </w:p>
    <w:sectPr>
      <w:headerReference w:type="default" r:id="rId9"/>
      <w:footerReference w:type="default" r:id="rId10"/>
      <w:footnotePr/>
      <w:endnotePr/>
      <w:type w:val="nextPage"/>
      <w:pgSz w:h="16840" w:orient="portrait" w:w="11900"/>
      <w:pgMar w:top="1134" w:right="1134" w:bottom="1134" w:left="1134" w:header="0" w:footer="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panose1 w:val="05040102010807070707"/>
  </w:font>
  <w:font w:name="Wingdings">
    <w:panose1 w:val="05010000000000000000"/>
  </w:font>
  <w:font w:name="Courier New">
    <w:panose1 w:val="02070409020205020404"/>
  </w:font>
  <w:font w:name="Symbol">
    <w:panose1 w:val="05010000000000000000"/>
  </w:font>
  <w:font w:name="Helvetica Neue">
    <w:panose1 w:val="05040102010807070707"/>
  </w:font>
  <w:font w:name="NSimSun">
    <w:panose1 w:val="02000506000000020000"/>
  </w:font>
  <w:font w:name="Arial">
    <w:panose1 w:val="020B0604020202020204"/>
  </w:font>
  <w:font w:name="Arial Unicode MS">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23D95"/>
    <w:lvl w:ilvl="0">
      <w:isLgl w:val="false"/>
      <w:lvlJc w:val="left"/>
      <w:lvlText w:val="·"/>
      <w:numFmt w:val="bullet"/>
      <w:pPr>
        <w:pBdr/>
        <w:spacing/>
        <w:ind w:hanging="360" w:left="720"/>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720"/>
        </w:tabs>
        <w:spacing/>
        <w:ind w:hanging="360" w:left="1080"/>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720"/>
        </w:tabs>
        <w:spacing/>
        <w:ind w:hanging="360" w:left="144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720"/>
        </w:tabs>
        <w:spacing/>
        <w:ind w:hanging="360" w:left="180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720"/>
        </w:tabs>
        <w:spacing/>
        <w:ind w:hanging="360" w:left="2160"/>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720"/>
        </w:tabs>
        <w:spacing/>
        <w:ind w:hanging="360" w:left="2520"/>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720"/>
        </w:tabs>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720"/>
        </w:tabs>
        <w:spacing/>
        <w:ind w:hanging="360" w:left="3240"/>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720"/>
        </w:tabs>
        <w:spacing/>
        <w:ind w:hanging="360" w:left="3600"/>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1">
    <w:nsid w:val="333709AD"/>
    <w:lvl w:ilvl="0">
      <w:isLgl w:val="false"/>
      <w:lvlJc w:val="left"/>
      <w:lvlText w:val="·"/>
      <w:numFmt w:val="bullet"/>
      <w:pPr>
        <w:pBdr/>
        <w:spacing/>
        <w:ind w:hanging="360" w:left="720"/>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720"/>
        </w:tabs>
        <w:spacing/>
        <w:ind w:hanging="360" w:left="1080"/>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720"/>
        </w:tabs>
        <w:spacing/>
        <w:ind w:hanging="360" w:left="144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720"/>
        </w:tabs>
        <w:spacing/>
        <w:ind w:hanging="360" w:left="180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720"/>
        </w:tabs>
        <w:spacing/>
        <w:ind w:hanging="360" w:left="2160"/>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720"/>
        </w:tabs>
        <w:spacing/>
        <w:ind w:hanging="360" w:left="2520"/>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720"/>
        </w:tabs>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720"/>
        </w:tabs>
        <w:spacing/>
        <w:ind w:hanging="360" w:left="3240"/>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720"/>
        </w:tabs>
        <w:spacing/>
        <w:ind w:hanging="360" w:left="3600"/>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2">
    <w:nsid w:val="46130E65"/>
    <w:lvl w:ilvl="0">
      <w:isLgl w:val="false"/>
      <w:lvlJc w:val="left"/>
      <w:lvlText w:val="·"/>
      <w:numFmt w:val="bullet"/>
      <w:pPr>
        <w:pBdr/>
        <w:spacing/>
        <w:ind w:hanging="360" w:left="720"/>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720"/>
        </w:tabs>
        <w:spacing/>
        <w:ind w:hanging="360" w:left="1080"/>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720"/>
        </w:tabs>
        <w:spacing/>
        <w:ind w:hanging="360" w:left="144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720"/>
        </w:tabs>
        <w:spacing/>
        <w:ind w:hanging="360" w:left="180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720"/>
        </w:tabs>
        <w:spacing/>
        <w:ind w:hanging="360" w:left="2160"/>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720"/>
        </w:tabs>
        <w:spacing/>
        <w:ind w:hanging="360" w:left="2520"/>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720"/>
        </w:tabs>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720"/>
        </w:tabs>
        <w:spacing/>
        <w:ind w:hanging="360" w:left="3240"/>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720"/>
        </w:tabs>
        <w:spacing/>
        <w:ind w:hanging="360" w:left="3600"/>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3">
    <w:nsid w:val="49267CD5"/>
    <w:lvl w:ilvl="0">
      <w:isLgl w:val="false"/>
      <w:lvlJc w:val="left"/>
      <w:lvlText w:val="·"/>
      <w:numFmt w:val="bullet"/>
      <w:pPr>
        <w:pBdr/>
        <w:spacing/>
        <w:ind w:hanging="227" w:left="227"/>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227"/>
        </w:tabs>
        <w:spacing/>
        <w:ind w:hanging="227" w:left="454"/>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227"/>
        </w:tabs>
        <w:spacing/>
        <w:ind w:hanging="227" w:left="68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227"/>
        </w:tabs>
        <w:spacing/>
        <w:ind w:hanging="227" w:left="907"/>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227"/>
        </w:tabs>
        <w:spacing/>
        <w:ind w:hanging="227" w:left="1134"/>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227"/>
        </w:tabs>
        <w:spacing/>
        <w:ind w:hanging="227" w:left="1361"/>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227"/>
        </w:tabs>
        <w:spacing/>
        <w:ind w:hanging="227" w:left="1587"/>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227"/>
        </w:tabs>
        <w:spacing/>
        <w:ind w:hanging="227" w:left="1814"/>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227"/>
        </w:tabs>
        <w:spacing/>
        <w:ind w:hanging="227" w:left="2041"/>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4">
    <w:nsid w:val="7D767AE2"/>
    <w:lvl w:ilvl="0">
      <w:isLgl w:val="false"/>
      <w:lvlJc w:val="left"/>
      <w:lvlText w:val="·"/>
      <w:numFmt w:val="bullet"/>
      <w:pPr>
        <w:pBdr/>
        <w:spacing/>
        <w:ind w:hanging="360" w:left="720"/>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720"/>
        </w:tabs>
        <w:spacing/>
        <w:ind w:hanging="360" w:left="1080"/>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720"/>
        </w:tabs>
        <w:spacing/>
        <w:ind w:hanging="360" w:left="144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720"/>
        </w:tabs>
        <w:spacing/>
        <w:ind w:hanging="360" w:left="180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720"/>
        </w:tabs>
        <w:spacing/>
        <w:ind w:hanging="360" w:left="2160"/>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720"/>
        </w:tabs>
        <w:spacing/>
        <w:ind w:hanging="360" w:left="2520"/>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720"/>
        </w:tabs>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720"/>
        </w:tabs>
        <w:spacing/>
        <w:ind w:hanging="360" w:left="3240"/>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720"/>
        </w:tabs>
        <w:spacing/>
        <w:ind w:hanging="360" w:left="3600"/>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5">
    <w:nsid w:val="03FDA5F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
    <w:nsid w:val="5FFB734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7">
    <w:nsid w:val="50DA707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tr-TR" w:eastAsia="tr-T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6">
    <w:name w:val="Table Grid"/>
    <w:basedOn w:val="93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Table Grid Light"/>
    <w:basedOn w:val="93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1"/>
    <w:basedOn w:val="93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2"/>
    <w:basedOn w:val="93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3"/>
    <w:basedOn w:val="9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4"/>
    <w:basedOn w:val="9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5"/>
    <w:basedOn w:val="9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w:basedOn w:val="9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1"/>
    <w:basedOn w:val="9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2"/>
    <w:basedOn w:val="9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3"/>
    <w:basedOn w:val="9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4"/>
    <w:basedOn w:val="9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5"/>
    <w:basedOn w:val="9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6"/>
    <w:basedOn w:val="9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w:basedOn w:val="9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1"/>
    <w:basedOn w:val="9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2"/>
    <w:basedOn w:val="9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3"/>
    <w:basedOn w:val="9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4"/>
    <w:basedOn w:val="9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5"/>
    <w:basedOn w:val="9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6"/>
    <w:basedOn w:val="9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w:basedOn w:val="9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1"/>
    <w:basedOn w:val="9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2"/>
    <w:basedOn w:val="9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3"/>
    <w:basedOn w:val="9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4"/>
    <w:basedOn w:val="9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5"/>
    <w:basedOn w:val="9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6"/>
    <w:basedOn w:val="9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w:basedOn w:val="9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1"/>
    <w:basedOn w:val="9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2"/>
    <w:basedOn w:val="9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3"/>
    <w:basedOn w:val="9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4"/>
    <w:basedOn w:val="9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5"/>
    <w:basedOn w:val="9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6"/>
    <w:basedOn w:val="9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Accent 1"/>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2"/>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 Accent 3"/>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Accent 4"/>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5"/>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6"/>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6 Colorful"/>
    <w:basedOn w:val="9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9">
    <w:name w:val="Grid Table 6 Colorful - Accent 1"/>
    <w:basedOn w:val="9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0">
    <w:name w:val="Grid Table 6 Colorful - Accent 2"/>
    <w:basedOn w:val="9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1">
    <w:name w:val="Grid Table 6 Colorful - Accent 3"/>
    <w:basedOn w:val="9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2">
    <w:name w:val="Grid Table 6 Colorful - Accent 4"/>
    <w:basedOn w:val="9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3">
    <w:name w:val="Grid Table 6 Colorful - Accent 5"/>
    <w:basedOn w:val="9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4">
    <w:name w:val="Grid Table 6 Colorful - Accent 6"/>
    <w:basedOn w:val="9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5">
    <w:name w:val="Grid Table 7 Colorful"/>
    <w:basedOn w:val="9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1"/>
    <w:basedOn w:val="9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2"/>
    <w:basedOn w:val="9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3"/>
    <w:basedOn w:val="9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4"/>
    <w:basedOn w:val="9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5"/>
    <w:basedOn w:val="9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6"/>
    <w:basedOn w:val="9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1"/>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2"/>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3"/>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4"/>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5"/>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6"/>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w:basedOn w:val="9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1"/>
    <w:basedOn w:val="9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2"/>
    <w:basedOn w:val="9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3"/>
    <w:basedOn w:val="9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4"/>
    <w:basedOn w:val="9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5"/>
    <w:basedOn w:val="9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6"/>
    <w:basedOn w:val="9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w:basedOn w:val="9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1"/>
    <w:basedOn w:val="9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2"/>
    <w:basedOn w:val="9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3"/>
    <w:basedOn w:val="9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4"/>
    <w:basedOn w:val="9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5"/>
    <w:basedOn w:val="9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6"/>
    <w:basedOn w:val="9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w:basedOn w:val="9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1"/>
    <w:basedOn w:val="9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2"/>
    <w:basedOn w:val="9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3"/>
    <w:basedOn w:val="9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4"/>
    <w:basedOn w:val="9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5"/>
    <w:basedOn w:val="9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6"/>
    <w:basedOn w:val="9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5 Dark"/>
    <w:basedOn w:val="9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1"/>
    <w:basedOn w:val="9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2"/>
    <w:basedOn w:val="9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3"/>
    <w:basedOn w:val="9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4"/>
    <w:basedOn w:val="9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5"/>
    <w:basedOn w:val="9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6"/>
    <w:basedOn w:val="9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6 Colorful"/>
    <w:basedOn w:val="9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1"/>
    <w:basedOn w:val="9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2"/>
    <w:basedOn w:val="9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3"/>
    <w:basedOn w:val="9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4"/>
    <w:basedOn w:val="9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5"/>
    <w:basedOn w:val="9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6"/>
    <w:basedOn w:val="9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7 Colorful"/>
    <w:basedOn w:val="9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5">
    <w:name w:val="List Table 7 Colorful - Accent 1"/>
    <w:basedOn w:val="9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46">
    <w:name w:val="List Table 7 Colorful - Accent 2"/>
    <w:basedOn w:val="9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47">
    <w:name w:val="List Table 7 Colorful - Accent 3"/>
    <w:basedOn w:val="9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48">
    <w:name w:val="List Table 7 Colorful - Accent 4"/>
    <w:basedOn w:val="9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9">
    <w:name w:val="List Table 7 Colorful - Accent 5"/>
    <w:basedOn w:val="9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0">
    <w:name w:val="List Table 7 Colorful - Accent 6"/>
    <w:basedOn w:val="9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1">
    <w:name w:val="Lined - Accent"/>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1"/>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2"/>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3"/>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4"/>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5"/>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6"/>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w:basedOn w:val="9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1"/>
    <w:basedOn w:val="9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2"/>
    <w:basedOn w:val="9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3"/>
    <w:basedOn w:val="9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4"/>
    <w:basedOn w:val="9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5"/>
    <w:basedOn w:val="9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6"/>
    <w:basedOn w:val="9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w:basedOn w:val="9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1"/>
    <w:basedOn w:val="9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2"/>
    <w:basedOn w:val="9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3"/>
    <w:basedOn w:val="9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4"/>
    <w:basedOn w:val="9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5"/>
    <w:basedOn w:val="9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6"/>
    <w:basedOn w:val="9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2">
    <w:name w:val="Heading 1"/>
    <w:basedOn w:val="931"/>
    <w:next w:val="931"/>
    <w:link w:val="88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3">
    <w:name w:val="Heading 2"/>
    <w:basedOn w:val="931"/>
    <w:next w:val="931"/>
    <w:link w:val="88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74">
    <w:name w:val="Heading 3"/>
    <w:basedOn w:val="931"/>
    <w:next w:val="931"/>
    <w:link w:val="88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5">
    <w:name w:val="Heading 4"/>
    <w:basedOn w:val="931"/>
    <w:next w:val="931"/>
    <w:link w:val="88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6">
    <w:name w:val="Heading 5"/>
    <w:basedOn w:val="931"/>
    <w:next w:val="931"/>
    <w:link w:val="88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7">
    <w:name w:val="Heading 6"/>
    <w:basedOn w:val="931"/>
    <w:next w:val="931"/>
    <w:link w:val="88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8">
    <w:name w:val="Heading 7"/>
    <w:basedOn w:val="931"/>
    <w:next w:val="931"/>
    <w:link w:val="88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9">
    <w:name w:val="Heading 8"/>
    <w:basedOn w:val="931"/>
    <w:next w:val="931"/>
    <w:link w:val="88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0">
    <w:name w:val="Heading 9"/>
    <w:basedOn w:val="931"/>
    <w:next w:val="931"/>
    <w:link w:val="88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1">
    <w:name w:val="Heading 1 Char"/>
    <w:basedOn w:val="932"/>
    <w:link w:val="872"/>
    <w:uiPriority w:val="9"/>
    <w:pPr>
      <w:pBdr/>
      <w:spacing/>
      <w:ind/>
    </w:pPr>
    <w:rPr>
      <w:rFonts w:ascii="Arial" w:hAnsi="Arial" w:eastAsia="Arial" w:cs="Arial"/>
      <w:color w:val="0f4761" w:themeColor="accent1" w:themeShade="BF"/>
      <w:sz w:val="40"/>
      <w:szCs w:val="40"/>
    </w:rPr>
  </w:style>
  <w:style w:type="character" w:styleId="882">
    <w:name w:val="Heading 2 Char"/>
    <w:basedOn w:val="932"/>
    <w:link w:val="873"/>
    <w:uiPriority w:val="9"/>
    <w:pPr>
      <w:pBdr/>
      <w:spacing/>
      <w:ind/>
    </w:pPr>
    <w:rPr>
      <w:rFonts w:ascii="Arial" w:hAnsi="Arial" w:eastAsia="Arial" w:cs="Arial"/>
      <w:color w:val="0f4761" w:themeColor="accent1" w:themeShade="BF"/>
      <w:sz w:val="32"/>
      <w:szCs w:val="32"/>
    </w:rPr>
  </w:style>
  <w:style w:type="character" w:styleId="883">
    <w:name w:val="Heading 3 Char"/>
    <w:basedOn w:val="932"/>
    <w:link w:val="874"/>
    <w:uiPriority w:val="9"/>
    <w:pPr>
      <w:pBdr/>
      <w:spacing/>
      <w:ind/>
    </w:pPr>
    <w:rPr>
      <w:rFonts w:ascii="Arial" w:hAnsi="Arial" w:eastAsia="Arial" w:cs="Arial"/>
      <w:color w:val="0f4761" w:themeColor="accent1" w:themeShade="BF"/>
      <w:sz w:val="28"/>
      <w:szCs w:val="28"/>
    </w:rPr>
  </w:style>
  <w:style w:type="character" w:styleId="884">
    <w:name w:val="Heading 4 Char"/>
    <w:basedOn w:val="932"/>
    <w:link w:val="875"/>
    <w:uiPriority w:val="9"/>
    <w:pPr>
      <w:pBdr/>
      <w:spacing/>
      <w:ind/>
    </w:pPr>
    <w:rPr>
      <w:rFonts w:ascii="Arial" w:hAnsi="Arial" w:eastAsia="Arial" w:cs="Arial"/>
      <w:i/>
      <w:iCs/>
      <w:color w:val="0f4761" w:themeColor="accent1" w:themeShade="BF"/>
    </w:rPr>
  </w:style>
  <w:style w:type="character" w:styleId="885">
    <w:name w:val="Heading 5 Char"/>
    <w:basedOn w:val="932"/>
    <w:link w:val="876"/>
    <w:uiPriority w:val="9"/>
    <w:pPr>
      <w:pBdr/>
      <w:spacing/>
      <w:ind/>
    </w:pPr>
    <w:rPr>
      <w:rFonts w:ascii="Arial" w:hAnsi="Arial" w:eastAsia="Arial" w:cs="Arial"/>
      <w:color w:val="0f4761" w:themeColor="accent1" w:themeShade="BF"/>
    </w:rPr>
  </w:style>
  <w:style w:type="character" w:styleId="886">
    <w:name w:val="Heading 6 Char"/>
    <w:basedOn w:val="932"/>
    <w:link w:val="877"/>
    <w:uiPriority w:val="9"/>
    <w:pPr>
      <w:pBdr/>
      <w:spacing/>
      <w:ind/>
    </w:pPr>
    <w:rPr>
      <w:rFonts w:ascii="Arial" w:hAnsi="Arial" w:eastAsia="Arial" w:cs="Arial"/>
      <w:i/>
      <w:iCs/>
      <w:color w:val="595959" w:themeColor="text1" w:themeTint="A6"/>
    </w:rPr>
  </w:style>
  <w:style w:type="character" w:styleId="887">
    <w:name w:val="Heading 7 Char"/>
    <w:basedOn w:val="932"/>
    <w:link w:val="878"/>
    <w:uiPriority w:val="9"/>
    <w:pPr>
      <w:pBdr/>
      <w:spacing/>
      <w:ind/>
    </w:pPr>
    <w:rPr>
      <w:rFonts w:ascii="Arial" w:hAnsi="Arial" w:eastAsia="Arial" w:cs="Arial"/>
      <w:color w:val="595959" w:themeColor="text1" w:themeTint="A6"/>
    </w:rPr>
  </w:style>
  <w:style w:type="character" w:styleId="888">
    <w:name w:val="Heading 8 Char"/>
    <w:basedOn w:val="932"/>
    <w:link w:val="879"/>
    <w:uiPriority w:val="9"/>
    <w:pPr>
      <w:pBdr/>
      <w:spacing/>
      <w:ind/>
    </w:pPr>
    <w:rPr>
      <w:rFonts w:ascii="Arial" w:hAnsi="Arial" w:eastAsia="Arial" w:cs="Arial"/>
      <w:i/>
      <w:iCs/>
      <w:color w:val="272727" w:themeColor="text1" w:themeTint="D8"/>
    </w:rPr>
  </w:style>
  <w:style w:type="character" w:styleId="889">
    <w:name w:val="Heading 9 Char"/>
    <w:basedOn w:val="932"/>
    <w:link w:val="880"/>
    <w:uiPriority w:val="9"/>
    <w:pPr>
      <w:pBdr/>
      <w:spacing/>
      <w:ind/>
    </w:pPr>
    <w:rPr>
      <w:rFonts w:ascii="Arial" w:hAnsi="Arial" w:eastAsia="Arial" w:cs="Arial"/>
      <w:i/>
      <w:iCs/>
      <w:color w:val="272727" w:themeColor="text1" w:themeTint="D8"/>
    </w:rPr>
  </w:style>
  <w:style w:type="paragraph" w:styleId="890">
    <w:name w:val="Title"/>
    <w:basedOn w:val="931"/>
    <w:next w:val="931"/>
    <w:link w:val="891"/>
    <w:uiPriority w:val="10"/>
    <w:qFormat/>
    <w:pPr>
      <w:pBdr/>
      <w:spacing w:after="80" w:line="240" w:lineRule="auto"/>
      <w:ind/>
      <w:contextualSpacing w:val="true"/>
    </w:pPr>
    <w:rPr>
      <w:rFonts w:ascii="Arial" w:hAnsi="Arial" w:eastAsia="Arial" w:cs="Arial"/>
      <w:spacing w:val="-10"/>
      <w:sz w:val="56"/>
      <w:szCs w:val="56"/>
    </w:rPr>
  </w:style>
  <w:style w:type="character" w:styleId="891">
    <w:name w:val="Title Char"/>
    <w:basedOn w:val="932"/>
    <w:link w:val="890"/>
    <w:uiPriority w:val="10"/>
    <w:pPr>
      <w:pBdr/>
      <w:spacing/>
      <w:ind/>
    </w:pPr>
    <w:rPr>
      <w:rFonts w:ascii="Arial" w:hAnsi="Arial" w:eastAsia="Arial" w:cs="Arial"/>
      <w:spacing w:val="-10"/>
      <w:sz w:val="56"/>
      <w:szCs w:val="56"/>
    </w:rPr>
  </w:style>
  <w:style w:type="paragraph" w:styleId="892">
    <w:name w:val="Subtitle"/>
    <w:basedOn w:val="931"/>
    <w:next w:val="931"/>
    <w:link w:val="893"/>
    <w:uiPriority w:val="11"/>
    <w:qFormat/>
    <w:pPr>
      <w:numPr>
        <w:ilvl w:val="1"/>
      </w:numPr>
      <w:pBdr/>
      <w:spacing/>
      <w:ind/>
    </w:pPr>
    <w:rPr>
      <w:color w:val="595959" w:themeColor="text1" w:themeTint="A6"/>
      <w:spacing w:val="15"/>
      <w:sz w:val="28"/>
      <w:szCs w:val="28"/>
    </w:rPr>
  </w:style>
  <w:style w:type="character" w:styleId="893">
    <w:name w:val="Subtitle Char"/>
    <w:basedOn w:val="932"/>
    <w:link w:val="892"/>
    <w:uiPriority w:val="11"/>
    <w:pPr>
      <w:pBdr/>
      <w:spacing/>
      <w:ind/>
    </w:pPr>
    <w:rPr>
      <w:color w:val="595959" w:themeColor="text1" w:themeTint="A6"/>
      <w:spacing w:val="15"/>
      <w:sz w:val="28"/>
      <w:szCs w:val="28"/>
    </w:rPr>
  </w:style>
  <w:style w:type="paragraph" w:styleId="894">
    <w:name w:val="Quote"/>
    <w:basedOn w:val="931"/>
    <w:next w:val="931"/>
    <w:link w:val="895"/>
    <w:uiPriority w:val="29"/>
    <w:qFormat/>
    <w:pPr>
      <w:pBdr/>
      <w:spacing w:before="160"/>
      <w:ind/>
      <w:jc w:val="center"/>
    </w:pPr>
    <w:rPr>
      <w:i/>
      <w:iCs/>
      <w:color w:val="404040" w:themeColor="text1" w:themeTint="BF"/>
    </w:rPr>
  </w:style>
  <w:style w:type="character" w:styleId="895">
    <w:name w:val="Quote Char"/>
    <w:basedOn w:val="932"/>
    <w:link w:val="894"/>
    <w:uiPriority w:val="29"/>
    <w:pPr>
      <w:pBdr/>
      <w:spacing/>
      <w:ind/>
    </w:pPr>
    <w:rPr>
      <w:i/>
      <w:iCs/>
      <w:color w:val="404040" w:themeColor="text1" w:themeTint="BF"/>
    </w:rPr>
  </w:style>
  <w:style w:type="paragraph" w:styleId="896">
    <w:name w:val="List Paragraph"/>
    <w:basedOn w:val="931"/>
    <w:uiPriority w:val="34"/>
    <w:qFormat/>
    <w:pPr>
      <w:pBdr/>
      <w:spacing/>
      <w:ind w:left="720"/>
      <w:contextualSpacing w:val="true"/>
    </w:pPr>
  </w:style>
  <w:style w:type="character" w:styleId="897">
    <w:name w:val="Intense Emphasis"/>
    <w:basedOn w:val="932"/>
    <w:uiPriority w:val="21"/>
    <w:qFormat/>
    <w:pPr>
      <w:pBdr/>
      <w:spacing/>
      <w:ind/>
    </w:pPr>
    <w:rPr>
      <w:i/>
      <w:iCs/>
      <w:color w:val="0f4761" w:themeColor="accent1" w:themeShade="BF"/>
    </w:rPr>
  </w:style>
  <w:style w:type="paragraph" w:styleId="898">
    <w:name w:val="Intense Quote"/>
    <w:basedOn w:val="931"/>
    <w:next w:val="931"/>
    <w:link w:val="89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9">
    <w:name w:val="Intense Quote Char"/>
    <w:basedOn w:val="932"/>
    <w:link w:val="898"/>
    <w:uiPriority w:val="30"/>
    <w:pPr>
      <w:pBdr/>
      <w:spacing/>
      <w:ind/>
    </w:pPr>
    <w:rPr>
      <w:i/>
      <w:iCs/>
      <w:color w:val="0f4761" w:themeColor="accent1" w:themeShade="BF"/>
    </w:rPr>
  </w:style>
  <w:style w:type="character" w:styleId="900">
    <w:name w:val="Intense Reference"/>
    <w:basedOn w:val="932"/>
    <w:uiPriority w:val="32"/>
    <w:qFormat/>
    <w:pPr>
      <w:pBdr/>
      <w:spacing/>
      <w:ind/>
    </w:pPr>
    <w:rPr>
      <w:b/>
      <w:bCs/>
      <w:smallCaps/>
      <w:color w:val="0f4761" w:themeColor="accent1" w:themeShade="BF"/>
      <w:spacing w:val="5"/>
    </w:rPr>
  </w:style>
  <w:style w:type="paragraph" w:styleId="901">
    <w:name w:val="No Spacing"/>
    <w:basedOn w:val="931"/>
    <w:uiPriority w:val="1"/>
    <w:qFormat/>
    <w:pPr>
      <w:pBdr/>
      <w:spacing w:after="0" w:line="240" w:lineRule="auto"/>
      <w:ind/>
    </w:pPr>
  </w:style>
  <w:style w:type="character" w:styleId="902">
    <w:name w:val="Subtle Emphasis"/>
    <w:basedOn w:val="932"/>
    <w:uiPriority w:val="19"/>
    <w:qFormat/>
    <w:pPr>
      <w:pBdr/>
      <w:spacing/>
      <w:ind/>
    </w:pPr>
    <w:rPr>
      <w:i/>
      <w:iCs/>
      <w:color w:val="404040" w:themeColor="text1" w:themeTint="BF"/>
    </w:rPr>
  </w:style>
  <w:style w:type="character" w:styleId="903">
    <w:name w:val="Emphasis"/>
    <w:basedOn w:val="932"/>
    <w:uiPriority w:val="20"/>
    <w:qFormat/>
    <w:pPr>
      <w:pBdr/>
      <w:spacing/>
      <w:ind/>
    </w:pPr>
    <w:rPr>
      <w:i/>
      <w:iCs/>
    </w:rPr>
  </w:style>
  <w:style w:type="character" w:styleId="904">
    <w:name w:val="Strong"/>
    <w:basedOn w:val="932"/>
    <w:uiPriority w:val="22"/>
    <w:qFormat/>
    <w:pPr>
      <w:pBdr/>
      <w:spacing/>
      <w:ind/>
    </w:pPr>
    <w:rPr>
      <w:b/>
      <w:bCs/>
    </w:rPr>
  </w:style>
  <w:style w:type="character" w:styleId="905">
    <w:name w:val="Subtle Reference"/>
    <w:basedOn w:val="932"/>
    <w:uiPriority w:val="31"/>
    <w:qFormat/>
    <w:pPr>
      <w:pBdr/>
      <w:spacing/>
      <w:ind/>
    </w:pPr>
    <w:rPr>
      <w:smallCaps/>
      <w:color w:val="5a5a5a" w:themeColor="text1" w:themeTint="A5"/>
    </w:rPr>
  </w:style>
  <w:style w:type="character" w:styleId="906">
    <w:name w:val="Book Title"/>
    <w:basedOn w:val="932"/>
    <w:uiPriority w:val="33"/>
    <w:qFormat/>
    <w:pPr>
      <w:pBdr/>
      <w:spacing/>
      <w:ind/>
    </w:pPr>
    <w:rPr>
      <w:b/>
      <w:bCs/>
      <w:i/>
      <w:iCs/>
      <w:spacing w:val="5"/>
    </w:rPr>
  </w:style>
  <w:style w:type="paragraph" w:styleId="907">
    <w:name w:val="Header"/>
    <w:basedOn w:val="931"/>
    <w:link w:val="908"/>
    <w:uiPriority w:val="99"/>
    <w:unhideWhenUsed/>
    <w:pPr>
      <w:pBdr/>
      <w:tabs>
        <w:tab w:val="center" w:leader="none" w:pos="4844"/>
        <w:tab w:val="right" w:leader="none" w:pos="9689"/>
      </w:tabs>
      <w:spacing w:after="0" w:line="240" w:lineRule="auto"/>
      <w:ind/>
    </w:pPr>
  </w:style>
  <w:style w:type="character" w:styleId="908">
    <w:name w:val="Header Char"/>
    <w:basedOn w:val="932"/>
    <w:link w:val="907"/>
    <w:uiPriority w:val="99"/>
    <w:pPr>
      <w:pBdr/>
      <w:spacing/>
      <w:ind/>
    </w:pPr>
  </w:style>
  <w:style w:type="paragraph" w:styleId="909">
    <w:name w:val="Footer"/>
    <w:basedOn w:val="931"/>
    <w:link w:val="910"/>
    <w:uiPriority w:val="99"/>
    <w:unhideWhenUsed/>
    <w:pPr>
      <w:pBdr/>
      <w:tabs>
        <w:tab w:val="center" w:leader="none" w:pos="4844"/>
        <w:tab w:val="right" w:leader="none" w:pos="9689"/>
      </w:tabs>
      <w:spacing w:after="0" w:line="240" w:lineRule="auto"/>
      <w:ind/>
    </w:pPr>
  </w:style>
  <w:style w:type="character" w:styleId="910">
    <w:name w:val="Footer Char"/>
    <w:basedOn w:val="932"/>
    <w:link w:val="909"/>
    <w:uiPriority w:val="99"/>
    <w:pPr>
      <w:pBdr/>
      <w:spacing/>
      <w:ind/>
    </w:pPr>
  </w:style>
  <w:style w:type="paragraph" w:styleId="911">
    <w:name w:val="Caption"/>
    <w:basedOn w:val="931"/>
    <w:next w:val="931"/>
    <w:uiPriority w:val="35"/>
    <w:unhideWhenUsed/>
    <w:qFormat/>
    <w:pPr>
      <w:pBdr/>
      <w:spacing w:after="200" w:line="240" w:lineRule="auto"/>
      <w:ind/>
    </w:pPr>
    <w:rPr>
      <w:i/>
      <w:iCs/>
      <w:color w:val="0e2841" w:themeColor="text2"/>
      <w:sz w:val="18"/>
      <w:szCs w:val="18"/>
    </w:rPr>
  </w:style>
  <w:style w:type="paragraph" w:styleId="912">
    <w:name w:val="footnote text"/>
    <w:basedOn w:val="931"/>
    <w:link w:val="913"/>
    <w:uiPriority w:val="99"/>
    <w:semiHidden/>
    <w:unhideWhenUsed/>
    <w:pPr>
      <w:pBdr/>
      <w:spacing w:after="0" w:line="240" w:lineRule="auto"/>
      <w:ind/>
    </w:pPr>
    <w:rPr>
      <w:sz w:val="20"/>
      <w:szCs w:val="20"/>
    </w:rPr>
  </w:style>
  <w:style w:type="character" w:styleId="913">
    <w:name w:val="Footnote Text Char"/>
    <w:basedOn w:val="932"/>
    <w:link w:val="912"/>
    <w:uiPriority w:val="99"/>
    <w:semiHidden/>
    <w:pPr>
      <w:pBdr/>
      <w:spacing/>
      <w:ind/>
    </w:pPr>
    <w:rPr>
      <w:sz w:val="20"/>
      <w:szCs w:val="20"/>
    </w:rPr>
  </w:style>
  <w:style w:type="character" w:styleId="914">
    <w:name w:val="footnote reference"/>
    <w:basedOn w:val="932"/>
    <w:uiPriority w:val="99"/>
    <w:semiHidden/>
    <w:unhideWhenUsed/>
    <w:pPr>
      <w:pBdr/>
      <w:spacing/>
      <w:ind/>
    </w:pPr>
    <w:rPr>
      <w:vertAlign w:val="superscript"/>
    </w:rPr>
  </w:style>
  <w:style w:type="paragraph" w:styleId="915">
    <w:name w:val="endnote text"/>
    <w:basedOn w:val="931"/>
    <w:link w:val="916"/>
    <w:uiPriority w:val="99"/>
    <w:semiHidden/>
    <w:unhideWhenUsed/>
    <w:pPr>
      <w:pBdr/>
      <w:spacing w:after="0" w:line="240" w:lineRule="auto"/>
      <w:ind/>
    </w:pPr>
    <w:rPr>
      <w:sz w:val="20"/>
      <w:szCs w:val="20"/>
    </w:rPr>
  </w:style>
  <w:style w:type="character" w:styleId="916">
    <w:name w:val="Endnote Text Char"/>
    <w:basedOn w:val="932"/>
    <w:link w:val="915"/>
    <w:uiPriority w:val="99"/>
    <w:semiHidden/>
    <w:pPr>
      <w:pBdr/>
      <w:spacing/>
      <w:ind/>
    </w:pPr>
    <w:rPr>
      <w:sz w:val="20"/>
      <w:szCs w:val="20"/>
    </w:rPr>
  </w:style>
  <w:style w:type="character" w:styleId="917">
    <w:name w:val="endnote reference"/>
    <w:basedOn w:val="932"/>
    <w:uiPriority w:val="99"/>
    <w:semiHidden/>
    <w:unhideWhenUsed/>
    <w:pPr>
      <w:pBdr/>
      <w:spacing/>
      <w:ind/>
    </w:pPr>
    <w:rPr>
      <w:vertAlign w:val="superscript"/>
    </w:rPr>
  </w:style>
  <w:style w:type="character" w:styleId="918">
    <w:name w:val="FollowedHyperlink"/>
    <w:basedOn w:val="932"/>
    <w:uiPriority w:val="99"/>
    <w:semiHidden/>
    <w:unhideWhenUsed/>
    <w:pPr>
      <w:pBdr/>
      <w:spacing/>
      <w:ind/>
    </w:pPr>
    <w:rPr>
      <w:color w:val="954f72" w:themeColor="followedHyperlink"/>
      <w:u w:val="single"/>
    </w:rPr>
  </w:style>
  <w:style w:type="paragraph" w:styleId="919">
    <w:name w:val="toc 1"/>
    <w:basedOn w:val="931"/>
    <w:next w:val="931"/>
    <w:uiPriority w:val="39"/>
    <w:unhideWhenUsed/>
    <w:pPr>
      <w:pBdr/>
      <w:spacing w:after="100"/>
      <w:ind/>
    </w:pPr>
  </w:style>
  <w:style w:type="paragraph" w:styleId="920">
    <w:name w:val="toc 2"/>
    <w:basedOn w:val="931"/>
    <w:next w:val="931"/>
    <w:uiPriority w:val="39"/>
    <w:unhideWhenUsed/>
    <w:pPr>
      <w:pBdr/>
      <w:spacing w:after="100"/>
      <w:ind w:left="220"/>
    </w:pPr>
  </w:style>
  <w:style w:type="paragraph" w:styleId="921">
    <w:name w:val="toc 3"/>
    <w:basedOn w:val="931"/>
    <w:next w:val="931"/>
    <w:uiPriority w:val="39"/>
    <w:unhideWhenUsed/>
    <w:pPr>
      <w:pBdr/>
      <w:spacing w:after="100"/>
      <w:ind w:left="440"/>
    </w:pPr>
  </w:style>
  <w:style w:type="paragraph" w:styleId="922">
    <w:name w:val="toc 4"/>
    <w:basedOn w:val="931"/>
    <w:next w:val="931"/>
    <w:uiPriority w:val="39"/>
    <w:unhideWhenUsed/>
    <w:pPr>
      <w:pBdr/>
      <w:spacing w:after="100"/>
      <w:ind w:left="660"/>
    </w:pPr>
  </w:style>
  <w:style w:type="paragraph" w:styleId="923">
    <w:name w:val="toc 5"/>
    <w:basedOn w:val="931"/>
    <w:next w:val="931"/>
    <w:uiPriority w:val="39"/>
    <w:unhideWhenUsed/>
    <w:pPr>
      <w:pBdr/>
      <w:spacing w:after="100"/>
      <w:ind w:left="880"/>
    </w:pPr>
  </w:style>
  <w:style w:type="paragraph" w:styleId="924">
    <w:name w:val="toc 6"/>
    <w:basedOn w:val="931"/>
    <w:next w:val="931"/>
    <w:uiPriority w:val="39"/>
    <w:unhideWhenUsed/>
    <w:pPr>
      <w:pBdr/>
      <w:spacing w:after="100"/>
      <w:ind w:left="1100"/>
    </w:pPr>
  </w:style>
  <w:style w:type="paragraph" w:styleId="925">
    <w:name w:val="toc 7"/>
    <w:basedOn w:val="931"/>
    <w:next w:val="931"/>
    <w:uiPriority w:val="39"/>
    <w:unhideWhenUsed/>
    <w:pPr>
      <w:pBdr/>
      <w:spacing w:after="100"/>
      <w:ind w:left="1320"/>
    </w:pPr>
  </w:style>
  <w:style w:type="paragraph" w:styleId="926">
    <w:name w:val="toc 8"/>
    <w:basedOn w:val="931"/>
    <w:next w:val="931"/>
    <w:uiPriority w:val="39"/>
    <w:unhideWhenUsed/>
    <w:pPr>
      <w:pBdr/>
      <w:spacing w:after="100"/>
      <w:ind w:left="1540"/>
    </w:pPr>
  </w:style>
  <w:style w:type="paragraph" w:styleId="927">
    <w:name w:val="toc 9"/>
    <w:basedOn w:val="931"/>
    <w:next w:val="931"/>
    <w:uiPriority w:val="39"/>
    <w:unhideWhenUsed/>
    <w:pPr>
      <w:pBdr/>
      <w:spacing w:after="100"/>
      <w:ind w:left="1760"/>
    </w:pPr>
  </w:style>
  <w:style w:type="character" w:styleId="928">
    <w:name w:val="Placeholder Text"/>
    <w:basedOn w:val="932"/>
    <w:uiPriority w:val="99"/>
    <w:semiHidden/>
    <w:pPr>
      <w:pBdr/>
      <w:spacing/>
      <w:ind/>
    </w:pPr>
    <w:rPr>
      <w:color w:val="666666"/>
    </w:rPr>
  </w:style>
  <w:style w:type="paragraph" w:styleId="929">
    <w:name w:val="TOC Heading"/>
    <w:uiPriority w:val="39"/>
    <w:unhideWhenUsed/>
    <w:pPr>
      <w:pBdr/>
      <w:spacing/>
      <w:ind/>
    </w:pPr>
  </w:style>
  <w:style w:type="paragraph" w:styleId="930">
    <w:name w:val="table of figures"/>
    <w:basedOn w:val="931"/>
    <w:next w:val="931"/>
    <w:uiPriority w:val="99"/>
    <w:unhideWhenUsed/>
    <w:pPr>
      <w:pBdr/>
      <w:spacing w:after="0" w:afterAutospacing="0"/>
      <w:ind/>
    </w:pPr>
  </w:style>
  <w:style w:type="paragraph" w:styleId="931" w:default="1">
    <w:name w:val="Normal"/>
    <w:pPr>
      <w:pBdr/>
      <w:spacing/>
      <w:ind/>
    </w:pPr>
    <w:rPr>
      <w:sz w:val="24"/>
      <w:szCs w:val="24"/>
      <w:lang w:val="en-US" w:eastAsia="en-US"/>
    </w:rPr>
  </w:style>
  <w:style w:type="character" w:styleId="932" w:default="1">
    <w:name w:val="Default Paragraph Font"/>
    <w:uiPriority w:val="1"/>
    <w:semiHidden/>
    <w:unhideWhenUsed/>
    <w:pPr>
      <w:pBdr/>
      <w:spacing/>
      <w:ind/>
    </w:pPr>
  </w:style>
  <w:style w:type="table" w:styleId="93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4" w:default="1">
    <w:name w:val="No List"/>
    <w:uiPriority w:val="99"/>
    <w:semiHidden/>
    <w:unhideWhenUsed/>
    <w:pPr>
      <w:pBdr/>
      <w:spacing/>
      <w:ind/>
    </w:pPr>
  </w:style>
  <w:style w:type="character" w:styleId="935">
    <w:name w:val="Hyperlink"/>
    <w:pPr>
      <w:pBdr/>
      <w:spacing/>
      <w:ind/>
    </w:pPr>
    <w:rPr>
      <w:u w:val="single"/>
    </w:rPr>
  </w:style>
  <w:style w:type="table" w:styleId="936"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7" w:customStyle="1">
    <w:name w:val="Header &amp; Footer"/>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 w:type="paragraph" w:styleId="938" w:customStyle="1">
    <w:name w:val="Body"/>
    <w:pPr>
      <w:pBdr/>
      <w:spacing/>
      <w:ind/>
    </w:pPr>
    <w:rPr>
      <w:rFonts w:cs="Arial Unicode MS"/>
      <w:color w:val="000000"/>
      <w:sz w:val="24"/>
      <w:szCs w:val="24"/>
      <w14:textOutline w14:w="0" w14:cap="flat" w14:cmpd="sng" w14:algn="ctr">
        <w14:noFill/>
        <w14:prstDash w14:val="solid"/>
        <w14:bevel/>
      </w14:textOutline>
    </w:rPr>
  </w:style>
  <w:style w:type="paragraph" w:styleId="939" w:customStyle="1">
    <w:name w:val="Table Contents"/>
    <w:pPr>
      <w:widowControl w:val="false"/>
      <w:pBdr/>
      <w:spacing/>
      <w:ind/>
    </w:pPr>
    <w:rPr>
      <w:rFonts w:cs="Arial Unicode MS"/>
      <w:color w:val="000000"/>
      <w:sz w:val="24"/>
      <w:szCs w:val="24"/>
      <w:lang w:val="en-US"/>
    </w:rPr>
  </w:style>
  <w:style w:type="character" w:styleId="940" w:customStyle="1">
    <w:name w:val="Hyperlink.0"/>
    <w:basedOn w:val="935"/>
    <w:pPr>
      <w:pBdr/>
      <w:spacing/>
      <w:ind/>
    </w:pPr>
    <w:rPr>
      <w:color w:val="000080"/>
      <w:u w:val="single"/>
    </w:rPr>
  </w:style>
  <w:style w:type="character" w:styleId="941" w:customStyle="1">
    <w:name w:val="Hyperlink.1"/>
    <w:basedOn w:val="940"/>
    <w:pPr>
      <w:pBdr/>
      <w:spacing/>
      <w:ind/>
    </w:pPr>
    <w:rPr>
      <w:rFonts w:ascii="Times New Roman" w:hAnsi="Times New Roman" w:eastAsia="Times New Roman" w:cs="Times New Roman"/>
      <w:color w:val="000080"/>
      <w:u w:val="single"/>
      <w:lang w:val="en-US"/>
    </w:rPr>
  </w:style>
  <w:style w:type="paragraph" w:styleId="942" w:customStyle="1">
    <w:name w:val="Default"/>
    <w:pPr>
      <w:pBdr/>
      <w:spacing w:before="160" w:line="288" w:lineRule="auto"/>
      <w:ind/>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munpoint.com" TargetMode="External"/><Relationship Id="rId12" Type="http://schemas.openxmlformats.org/officeDocument/2006/relationships/hyperlink" Target="tel:+905058570467" TargetMode="External"/><Relationship Id="rId13" Type="http://schemas.openxmlformats.org/officeDocument/2006/relationships/hyperlink" Target="mailto:esraerkmen@yahoo.com" TargetMode="External"/><Relationship Id="rId14" Type="http://schemas.openxmlformats.org/officeDocument/2006/relationships/hyperlink" Target="https://www.ebalmun.com.t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Silentall Unattended Installer</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ogretmenler_odasi_2</dc:creator>
  <cp:revision>4</cp:revision>
  <dcterms:created xsi:type="dcterms:W3CDTF">2025-09-24T10:11:00Z</dcterms:created>
  <dcterms:modified xsi:type="dcterms:W3CDTF">2025-10-12T20:03:54Z</dcterms:modified>
</cp:coreProperties>
</file>